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110" w:rsidRDefault="00FF5997" w:rsidP="00B84FAF">
      <w:pPr>
        <w:jc w:val="center"/>
        <w:rPr>
          <w:rFonts w:ascii="Times New Roman" w:hAnsi="Times New Roman" w:cs="Times New Roman"/>
          <w:b/>
          <w:sz w:val="32"/>
          <w:szCs w:val="32"/>
        </w:rPr>
      </w:pPr>
      <w:r w:rsidRPr="00CE307B">
        <w:rPr>
          <w:rFonts w:ascii="Times New Roman" w:hAnsi="Times New Roman" w:cs="Times New Roman"/>
          <w:b/>
          <w:sz w:val="32"/>
          <w:szCs w:val="32"/>
        </w:rPr>
        <w:t>NỘI DUNG WEBSITE IFMC</w:t>
      </w:r>
    </w:p>
    <w:p w:rsidR="00CE307B" w:rsidRPr="00CE307B" w:rsidRDefault="00CE307B" w:rsidP="00CE307B">
      <w:pPr>
        <w:tabs>
          <w:tab w:val="left" w:pos="1230"/>
        </w:tabs>
        <w:rPr>
          <w:rFonts w:ascii="Times New Roman" w:hAnsi="Times New Roman" w:cs="Times New Roman"/>
          <w:b/>
          <w:sz w:val="24"/>
          <w:szCs w:val="24"/>
        </w:rPr>
      </w:pPr>
      <w:r w:rsidRPr="00CE307B">
        <w:rPr>
          <w:rFonts w:ascii="Times New Roman" w:hAnsi="Times New Roman" w:cs="Times New Roman"/>
          <w:b/>
          <w:sz w:val="28"/>
          <w:szCs w:val="28"/>
        </w:rPr>
        <w:t xml:space="preserve">          </w:t>
      </w:r>
      <w:r w:rsidRPr="00CE307B">
        <w:rPr>
          <w:rFonts w:ascii="Times New Roman" w:hAnsi="Times New Roman" w:cs="Times New Roman"/>
          <w:b/>
          <w:sz w:val="24"/>
          <w:szCs w:val="24"/>
        </w:rPr>
        <w:t>GIỚI THIỆU</w:t>
      </w:r>
    </w:p>
    <w:p w:rsidR="00FF5997" w:rsidRPr="00DD5330" w:rsidRDefault="00FF5997" w:rsidP="00576A4D">
      <w:pPr>
        <w:pStyle w:val="ListParagraph"/>
        <w:numPr>
          <w:ilvl w:val="0"/>
          <w:numId w:val="2"/>
        </w:numPr>
        <w:rPr>
          <w:rFonts w:ascii="Times New Roman" w:hAnsi="Times New Roman" w:cs="Times New Roman"/>
          <w:b/>
          <w:sz w:val="24"/>
          <w:szCs w:val="24"/>
          <w:u w:val="single"/>
        </w:rPr>
      </w:pPr>
      <w:r w:rsidRPr="00DD5330">
        <w:rPr>
          <w:rFonts w:ascii="Times New Roman" w:hAnsi="Times New Roman" w:cs="Times New Roman"/>
          <w:b/>
          <w:sz w:val="24"/>
          <w:szCs w:val="24"/>
          <w:u w:val="single"/>
        </w:rPr>
        <w:t>Đôi nét về công ty</w:t>
      </w:r>
    </w:p>
    <w:p w:rsidR="00403422" w:rsidRPr="00576A4D" w:rsidRDefault="004F2DCB" w:rsidP="002D6FF3">
      <w:pPr>
        <w:ind w:left="720"/>
        <w:rPr>
          <w:rFonts w:ascii="Times New Roman" w:hAnsi="Times New Roman" w:cs="Times New Roman"/>
          <w:sz w:val="24"/>
          <w:szCs w:val="24"/>
        </w:rPr>
      </w:pPr>
      <w:r>
        <w:rPr>
          <w:rFonts w:ascii="Times New Roman" w:hAnsi="Times New Roman" w:cs="Times New Roman"/>
          <w:sz w:val="24"/>
          <w:szCs w:val="24"/>
        </w:rPr>
        <w:t>C</w:t>
      </w:r>
      <w:r w:rsidR="002D6FF3" w:rsidRPr="00576A4D">
        <w:rPr>
          <w:rFonts w:ascii="Times New Roman" w:hAnsi="Times New Roman" w:cs="Times New Roman"/>
          <w:sz w:val="24"/>
          <w:szCs w:val="24"/>
        </w:rPr>
        <w:t xml:space="preserve">ông ty cổ phần quản lý Qũy Quốc Tế (tiền thân là công ty cổ phần quản lý Qũy </w:t>
      </w:r>
      <w:r w:rsidR="004720E7">
        <w:rPr>
          <w:rFonts w:ascii="Times New Roman" w:hAnsi="Times New Roman" w:cs="Times New Roman"/>
          <w:sz w:val="24"/>
          <w:szCs w:val="24"/>
        </w:rPr>
        <w:t>An Phú</w:t>
      </w:r>
      <w:r w:rsidR="002D6FF3" w:rsidRPr="00576A4D">
        <w:rPr>
          <w:rFonts w:ascii="Times New Roman" w:hAnsi="Times New Roman" w:cs="Times New Roman"/>
          <w:sz w:val="24"/>
          <w:szCs w:val="24"/>
        </w:rPr>
        <w:t>) chính thức đi vào hoạt động</w:t>
      </w:r>
      <w:r>
        <w:rPr>
          <w:rFonts w:ascii="Times New Roman" w:hAnsi="Times New Roman" w:cs="Times New Roman"/>
          <w:sz w:val="24"/>
          <w:szCs w:val="24"/>
        </w:rPr>
        <w:t xml:space="preserve"> vào năm 2006</w:t>
      </w:r>
      <w:r w:rsidR="002D6FF3" w:rsidRPr="00576A4D">
        <w:rPr>
          <w:rFonts w:ascii="Times New Roman" w:hAnsi="Times New Roman" w:cs="Times New Roman"/>
          <w:sz w:val="24"/>
          <w:szCs w:val="24"/>
        </w:rPr>
        <w:t>, tự hào là một trong những công ty quản lý Qũy có thâm niên tại thị trường Việt Nam. Từ khi ra đời đến nay, thương hiệu của chúng tôi luôn đồng hành và là địa chỉ tin cậy của hầu hết các Nhà đầu tư trong và ngoài nước.</w:t>
      </w:r>
    </w:p>
    <w:p w:rsidR="002D6FF3" w:rsidRPr="00576A4D" w:rsidRDefault="002D6FF3" w:rsidP="002D6FF3">
      <w:pPr>
        <w:ind w:left="720"/>
        <w:rPr>
          <w:rFonts w:ascii="Times New Roman" w:hAnsi="Times New Roman" w:cs="Times New Roman"/>
          <w:sz w:val="24"/>
          <w:szCs w:val="24"/>
        </w:rPr>
      </w:pPr>
      <w:r w:rsidRPr="00576A4D">
        <w:rPr>
          <w:rFonts w:ascii="Times New Roman" w:hAnsi="Times New Roman" w:cs="Times New Roman"/>
          <w:sz w:val="24"/>
          <w:szCs w:val="24"/>
        </w:rPr>
        <w:t xml:space="preserve">Với đội ngũ nhân sự có trình độ chuyên môn nghiệp vụ cao, </w:t>
      </w:r>
      <w:r w:rsidR="00576A4D" w:rsidRPr="00576A4D">
        <w:rPr>
          <w:rFonts w:ascii="Times New Roman" w:hAnsi="Times New Roman" w:cs="Times New Roman"/>
          <w:sz w:val="24"/>
          <w:szCs w:val="24"/>
        </w:rPr>
        <w:t>giàu nhiệt huyế</w:t>
      </w:r>
      <w:r w:rsidR="00576A4D">
        <w:rPr>
          <w:rFonts w:ascii="Times New Roman" w:hAnsi="Times New Roman" w:cs="Times New Roman"/>
          <w:sz w:val="24"/>
          <w:szCs w:val="24"/>
        </w:rPr>
        <w:t>t, với</w:t>
      </w:r>
      <w:r w:rsidR="00576A4D" w:rsidRPr="00576A4D">
        <w:rPr>
          <w:rFonts w:ascii="Times New Roman" w:hAnsi="Times New Roman" w:cs="Times New Roman"/>
          <w:sz w:val="24"/>
          <w:szCs w:val="24"/>
        </w:rPr>
        <w:t xml:space="preserve"> cơ sở thông tin thị trường toàn diện, các gói sản phẩm, dịch vụ của chúng tôi được xây dựng nhằm đáp ứng nhu cầu đầu tư ngày một gia tăng của Qúy khách hàng, giúp đem lại mức lợi nhuận kì vọng trên cơ sở kiểm soát tốt rủi ro.</w:t>
      </w:r>
    </w:p>
    <w:p w:rsidR="003C6E68" w:rsidRPr="000511EE" w:rsidRDefault="008B27DD" w:rsidP="000511EE">
      <w:pPr>
        <w:pStyle w:val="ListParagraph"/>
        <w:numPr>
          <w:ilvl w:val="0"/>
          <w:numId w:val="2"/>
        </w:numPr>
        <w:rPr>
          <w:rFonts w:ascii="Times New Roman" w:hAnsi="Times New Roman" w:cs="Times New Roman"/>
          <w:b/>
          <w:sz w:val="24"/>
          <w:szCs w:val="24"/>
        </w:rPr>
      </w:pPr>
      <w:r w:rsidRPr="000511EE">
        <w:rPr>
          <w:rFonts w:ascii="Times New Roman" w:hAnsi="Times New Roman" w:cs="Times New Roman"/>
          <w:b/>
          <w:sz w:val="24"/>
          <w:szCs w:val="24"/>
          <w:u w:val="single"/>
        </w:rPr>
        <w:t>Tầm nhìn</w:t>
      </w:r>
      <w:r w:rsidR="00932ED0" w:rsidRPr="000511EE">
        <w:rPr>
          <w:rFonts w:ascii="Times New Roman" w:hAnsi="Times New Roman" w:cs="Times New Roman"/>
          <w:b/>
          <w:sz w:val="24"/>
          <w:szCs w:val="24"/>
          <w:u w:val="single"/>
        </w:rPr>
        <w:t xml:space="preserve"> </w:t>
      </w:r>
    </w:p>
    <w:p w:rsidR="003C6E68" w:rsidRPr="003C6E68" w:rsidRDefault="003C6E68" w:rsidP="003C6E68">
      <w:pPr>
        <w:pStyle w:val="ListParagraph"/>
        <w:rPr>
          <w:rFonts w:ascii="Times New Roman" w:hAnsi="Times New Roman" w:cs="Times New Roman"/>
          <w:sz w:val="24"/>
          <w:szCs w:val="24"/>
        </w:rPr>
      </w:pPr>
    </w:p>
    <w:p w:rsidR="003C6E68" w:rsidRDefault="00B2331C" w:rsidP="003C6E68">
      <w:pPr>
        <w:pStyle w:val="ListParagraph"/>
        <w:rPr>
          <w:rFonts w:ascii="Times New Roman" w:hAnsi="Times New Roman" w:cs="Times New Roman"/>
          <w:sz w:val="24"/>
          <w:szCs w:val="24"/>
        </w:rPr>
      </w:pPr>
      <w:r w:rsidRPr="003C6E68">
        <w:rPr>
          <w:rFonts w:ascii="Times New Roman" w:hAnsi="Times New Roman" w:cs="Times New Roman"/>
          <w:sz w:val="24"/>
          <w:szCs w:val="24"/>
        </w:rPr>
        <w:t>Xây dựng IFMC trở thành</w:t>
      </w:r>
      <w:r w:rsidR="006B6AEB" w:rsidRPr="003C6E68">
        <w:rPr>
          <w:rFonts w:ascii="Times New Roman" w:hAnsi="Times New Roman" w:cs="Times New Roman"/>
          <w:sz w:val="24"/>
          <w:szCs w:val="24"/>
        </w:rPr>
        <w:t xml:space="preserve"> một trong </w:t>
      </w:r>
      <w:r w:rsidR="006B6AEB" w:rsidRPr="003C6E68">
        <w:rPr>
          <w:rFonts w:ascii="Times New Roman" w:hAnsi="Times New Roman" w:cs="Times New Roman"/>
          <w:sz w:val="24"/>
          <w:szCs w:val="24"/>
        </w:rPr>
        <w:tab/>
        <w:t xml:space="preserve">10 công ty </w:t>
      </w:r>
      <w:r w:rsidR="00576A4D" w:rsidRPr="003C6E68">
        <w:rPr>
          <w:rFonts w:ascii="Times New Roman" w:hAnsi="Times New Roman" w:cs="Times New Roman"/>
          <w:sz w:val="24"/>
          <w:szCs w:val="24"/>
        </w:rPr>
        <w:t>quả</w:t>
      </w:r>
      <w:r w:rsidR="006B6AEB" w:rsidRPr="003C6E68">
        <w:rPr>
          <w:rFonts w:ascii="Times New Roman" w:hAnsi="Times New Roman" w:cs="Times New Roman"/>
          <w:sz w:val="24"/>
          <w:szCs w:val="24"/>
        </w:rPr>
        <w:t>n lý q</w:t>
      </w:r>
      <w:r w:rsidR="00576A4D" w:rsidRPr="003C6E68">
        <w:rPr>
          <w:rFonts w:ascii="Times New Roman" w:hAnsi="Times New Roman" w:cs="Times New Roman"/>
          <w:sz w:val="24"/>
          <w:szCs w:val="24"/>
        </w:rPr>
        <w:t>ũy hàng đầu tại Việt Nam về tài sả</w:t>
      </w:r>
      <w:r w:rsidR="003C6E68" w:rsidRPr="003C6E68">
        <w:rPr>
          <w:rFonts w:ascii="Times New Roman" w:hAnsi="Times New Roman" w:cs="Times New Roman"/>
          <w:sz w:val="24"/>
          <w:szCs w:val="24"/>
        </w:rPr>
        <w:t>n và khách hàng.</w:t>
      </w:r>
    </w:p>
    <w:p w:rsidR="003C6E68" w:rsidRPr="003C6E68" w:rsidRDefault="003C6E68" w:rsidP="003C6E68">
      <w:pPr>
        <w:pStyle w:val="ListParagraph"/>
        <w:rPr>
          <w:rFonts w:ascii="Times New Roman" w:hAnsi="Times New Roman" w:cs="Times New Roman"/>
          <w:sz w:val="24"/>
          <w:szCs w:val="24"/>
        </w:rPr>
      </w:pPr>
    </w:p>
    <w:p w:rsidR="00576A4D" w:rsidRPr="00DD5330" w:rsidRDefault="00576A4D" w:rsidP="00576A4D">
      <w:pPr>
        <w:pStyle w:val="ListParagraph"/>
        <w:numPr>
          <w:ilvl w:val="0"/>
          <w:numId w:val="2"/>
        </w:numPr>
        <w:rPr>
          <w:rFonts w:ascii="Times New Roman" w:hAnsi="Times New Roman" w:cs="Times New Roman"/>
          <w:b/>
          <w:sz w:val="24"/>
          <w:szCs w:val="24"/>
          <w:u w:val="single"/>
        </w:rPr>
      </w:pPr>
      <w:r w:rsidRPr="00DD5330">
        <w:rPr>
          <w:rFonts w:ascii="Times New Roman" w:hAnsi="Times New Roman" w:cs="Times New Roman"/>
          <w:b/>
          <w:sz w:val="24"/>
          <w:szCs w:val="24"/>
          <w:u w:val="single"/>
        </w:rPr>
        <w:t>Sứ mệnh</w:t>
      </w:r>
    </w:p>
    <w:p w:rsidR="00576A4D" w:rsidRDefault="00576A4D" w:rsidP="00576A4D">
      <w:pPr>
        <w:ind w:left="720"/>
        <w:rPr>
          <w:rFonts w:ascii="Times New Roman" w:hAnsi="Times New Roman" w:cs="Times New Roman"/>
          <w:sz w:val="24"/>
          <w:szCs w:val="24"/>
        </w:rPr>
      </w:pPr>
      <w:r>
        <w:rPr>
          <w:rFonts w:ascii="Times New Roman" w:hAnsi="Times New Roman" w:cs="Times New Roman"/>
          <w:sz w:val="24"/>
          <w:szCs w:val="24"/>
        </w:rPr>
        <w:t>Công ty cổ phần quản lý Qũy Quốc Tế là địa chỉ tin cậy của mọi Nhà đầu tư</w:t>
      </w:r>
      <w:r w:rsidR="009A068E">
        <w:rPr>
          <w:rFonts w:ascii="Times New Roman" w:hAnsi="Times New Roman" w:cs="Times New Roman"/>
          <w:sz w:val="24"/>
          <w:szCs w:val="24"/>
        </w:rPr>
        <w:t>.</w:t>
      </w:r>
    </w:p>
    <w:p w:rsidR="005877D3" w:rsidRDefault="00576A4D" w:rsidP="00DD6C81">
      <w:pPr>
        <w:pStyle w:val="ListParagraph"/>
        <w:numPr>
          <w:ilvl w:val="0"/>
          <w:numId w:val="2"/>
        </w:numPr>
        <w:rPr>
          <w:rFonts w:ascii="Times New Roman" w:hAnsi="Times New Roman" w:cs="Times New Roman"/>
          <w:b/>
          <w:sz w:val="24"/>
          <w:szCs w:val="24"/>
          <w:u w:val="single"/>
        </w:rPr>
      </w:pPr>
      <w:r w:rsidRPr="00DD5330">
        <w:rPr>
          <w:rFonts w:ascii="Times New Roman" w:hAnsi="Times New Roman" w:cs="Times New Roman"/>
          <w:b/>
          <w:sz w:val="24"/>
          <w:szCs w:val="24"/>
          <w:u w:val="single"/>
        </w:rPr>
        <w:t>Giá trị c</w:t>
      </w:r>
      <w:r w:rsidR="00932ED0">
        <w:rPr>
          <w:rFonts w:ascii="Times New Roman" w:hAnsi="Times New Roman" w:cs="Times New Roman"/>
          <w:b/>
          <w:sz w:val="24"/>
          <w:szCs w:val="24"/>
          <w:u w:val="single"/>
        </w:rPr>
        <w:t>ốt lõi</w:t>
      </w:r>
    </w:p>
    <w:p w:rsidR="00DD6C81" w:rsidRPr="00DD6C81" w:rsidRDefault="00DD6C81" w:rsidP="00DD6C81">
      <w:pPr>
        <w:pStyle w:val="ListParagraph"/>
        <w:ind w:left="1080"/>
        <w:rPr>
          <w:rFonts w:ascii="Times New Roman" w:hAnsi="Times New Roman" w:cs="Times New Roman"/>
          <w:b/>
          <w:sz w:val="24"/>
          <w:szCs w:val="24"/>
          <w:u w:val="single"/>
        </w:rPr>
      </w:pPr>
    </w:p>
    <w:p w:rsidR="00DD6C81" w:rsidRPr="003A4AA9" w:rsidRDefault="00932ED0" w:rsidP="003A4AA9">
      <w:pPr>
        <w:pStyle w:val="ListParagraph"/>
        <w:rPr>
          <w:rFonts w:ascii="Times New Roman" w:hAnsi="Times New Roman" w:cs="Times New Roman"/>
          <w:sz w:val="24"/>
          <w:szCs w:val="24"/>
        </w:rPr>
      </w:pPr>
      <w:r>
        <w:rPr>
          <w:rFonts w:ascii="Times New Roman" w:hAnsi="Times New Roman" w:cs="Times New Roman"/>
          <w:sz w:val="24"/>
          <w:szCs w:val="24"/>
        </w:rPr>
        <w:t>Công ty Cổ phần quản lý Qũy Quốc Tế cam kết đem đến các giải pháp ủy thác đầu tư và quản lý tài sản hiệu quả cho mọi Khách hàng. Mọi hoạt động đầu tư của chúng tôi đều dựa trên 3 giá trị cốt lõi sau:</w:t>
      </w:r>
    </w:p>
    <w:p w:rsidR="00932ED0" w:rsidRPr="005877D3" w:rsidRDefault="00932ED0" w:rsidP="003A4AA9">
      <w:pPr>
        <w:pStyle w:val="ListParagraph"/>
        <w:numPr>
          <w:ilvl w:val="0"/>
          <w:numId w:val="9"/>
        </w:numPr>
        <w:rPr>
          <w:rFonts w:ascii="Times New Roman" w:hAnsi="Times New Roman" w:cs="Times New Roman"/>
          <w:b/>
          <w:i/>
          <w:sz w:val="24"/>
          <w:szCs w:val="24"/>
        </w:rPr>
      </w:pPr>
      <w:r w:rsidRPr="005877D3">
        <w:rPr>
          <w:rFonts w:ascii="Times New Roman" w:hAnsi="Times New Roman" w:cs="Times New Roman"/>
          <w:b/>
          <w:i/>
          <w:sz w:val="24"/>
          <w:szCs w:val="24"/>
        </w:rPr>
        <w:t>Sự tăng trưởng và phát triển</w:t>
      </w:r>
    </w:p>
    <w:p w:rsidR="00932ED0" w:rsidRDefault="005877D3" w:rsidP="005877D3">
      <w:pPr>
        <w:pStyle w:val="ListParagraph"/>
        <w:rPr>
          <w:rFonts w:ascii="Times New Roman" w:hAnsi="Times New Roman" w:cs="Times New Roman"/>
          <w:sz w:val="24"/>
          <w:szCs w:val="24"/>
        </w:rPr>
      </w:pPr>
      <w:r>
        <w:rPr>
          <w:rFonts w:ascii="Times New Roman" w:hAnsi="Times New Roman" w:cs="Times New Roman"/>
          <w:sz w:val="24"/>
          <w:szCs w:val="24"/>
        </w:rPr>
        <w:t>Nhằm tạo ra giá trị gia tăng cho các cổ đông, nhà đầu tư, khách hàng, đối tác, đội ngũ nhân viên cũng như toàn xã hội, mọi hoạt động kinh doanh của chúng tôi đều dựa trên nền tảng phát triển lâu dài và bền vững;</w:t>
      </w:r>
    </w:p>
    <w:p w:rsidR="005877D3" w:rsidRPr="005877D3" w:rsidRDefault="005877D3" w:rsidP="003A4AA9">
      <w:pPr>
        <w:pStyle w:val="ListParagraph"/>
        <w:numPr>
          <w:ilvl w:val="0"/>
          <w:numId w:val="9"/>
        </w:numPr>
        <w:rPr>
          <w:rFonts w:ascii="Times New Roman" w:hAnsi="Times New Roman" w:cs="Times New Roman"/>
          <w:b/>
          <w:i/>
          <w:sz w:val="24"/>
          <w:szCs w:val="24"/>
        </w:rPr>
      </w:pPr>
      <w:r w:rsidRPr="005877D3">
        <w:rPr>
          <w:rFonts w:ascii="Times New Roman" w:hAnsi="Times New Roman" w:cs="Times New Roman"/>
          <w:b/>
          <w:i/>
          <w:sz w:val="24"/>
          <w:szCs w:val="24"/>
        </w:rPr>
        <w:t>Sư minh bạch và công bằng</w:t>
      </w:r>
    </w:p>
    <w:p w:rsidR="005877D3" w:rsidRDefault="005877D3" w:rsidP="005877D3">
      <w:pPr>
        <w:pStyle w:val="ListParagraph"/>
        <w:rPr>
          <w:rFonts w:ascii="Times New Roman" w:hAnsi="Times New Roman" w:cs="Times New Roman"/>
          <w:sz w:val="24"/>
          <w:szCs w:val="24"/>
        </w:rPr>
      </w:pPr>
      <w:r>
        <w:rPr>
          <w:rFonts w:ascii="Times New Roman" w:hAnsi="Times New Roman" w:cs="Times New Roman"/>
          <w:sz w:val="24"/>
          <w:szCs w:val="24"/>
        </w:rPr>
        <w:t>Đây là một trong những quy chuẩn hàng đầu trong Bộ quy tắc đạo đức nghề nghiệp của chúng tôi nhằm thiết lập và gìn giữ mối quan hệ hợp tác chiến lược bền vững giữa các bên dựa trên sự tín nhiệm và tận tâm;</w:t>
      </w:r>
    </w:p>
    <w:p w:rsidR="005877D3" w:rsidRPr="005877D3" w:rsidRDefault="005877D3" w:rsidP="003A4AA9">
      <w:pPr>
        <w:pStyle w:val="ListParagraph"/>
        <w:numPr>
          <w:ilvl w:val="0"/>
          <w:numId w:val="9"/>
        </w:numPr>
        <w:rPr>
          <w:rFonts w:ascii="Times New Roman" w:hAnsi="Times New Roman" w:cs="Times New Roman"/>
          <w:b/>
          <w:i/>
          <w:sz w:val="24"/>
          <w:szCs w:val="24"/>
        </w:rPr>
      </w:pPr>
      <w:r w:rsidRPr="005877D3">
        <w:rPr>
          <w:rFonts w:ascii="Times New Roman" w:hAnsi="Times New Roman" w:cs="Times New Roman"/>
          <w:b/>
          <w:i/>
          <w:sz w:val="24"/>
          <w:szCs w:val="24"/>
        </w:rPr>
        <w:t>Sự chuyên nghiệp và bản lĩnh</w:t>
      </w:r>
    </w:p>
    <w:p w:rsidR="005877D3" w:rsidRDefault="005877D3" w:rsidP="005877D3">
      <w:pPr>
        <w:pStyle w:val="ListParagraph"/>
        <w:rPr>
          <w:rFonts w:ascii="Times New Roman" w:hAnsi="Times New Roman" w:cs="Times New Roman"/>
          <w:sz w:val="24"/>
          <w:szCs w:val="24"/>
        </w:rPr>
      </w:pPr>
      <w:r w:rsidRPr="005877D3">
        <w:rPr>
          <w:rFonts w:ascii="Times New Roman" w:hAnsi="Times New Roman" w:cs="Times New Roman"/>
          <w:sz w:val="24"/>
          <w:szCs w:val="24"/>
        </w:rPr>
        <w:t>Với đội ngũ quản lý và chuyên gia giàu kinh nghiệm củ</w:t>
      </w:r>
      <w:r>
        <w:rPr>
          <w:rFonts w:ascii="Times New Roman" w:hAnsi="Times New Roman" w:cs="Times New Roman"/>
          <w:sz w:val="24"/>
          <w:szCs w:val="24"/>
        </w:rPr>
        <w:t>a IFMC</w:t>
      </w:r>
      <w:r w:rsidRPr="005877D3">
        <w:rPr>
          <w:rFonts w:ascii="Times New Roman" w:hAnsi="Times New Roman" w:cs="Times New Roman"/>
          <w:sz w:val="24"/>
          <w:szCs w:val="24"/>
        </w:rPr>
        <w:t>, danh mục đầu tư của khách hàng sẽ được phân bổ và đầu tư chiến lược dựa trên các kỹ thuật phân tích hiện đại, nguồn thông tin nhanh nhạy để phản ứng kịp thời trước các biến động trên thị trường. Bằng kinh nghiệm, kiến thức chuyên sâu và sự nhạy bén củ</w:t>
      </w:r>
      <w:r>
        <w:rPr>
          <w:rFonts w:ascii="Times New Roman" w:hAnsi="Times New Roman" w:cs="Times New Roman"/>
          <w:sz w:val="24"/>
          <w:szCs w:val="24"/>
        </w:rPr>
        <w:t xml:space="preserve">a mình, IFMC </w:t>
      </w:r>
      <w:r w:rsidRPr="005877D3">
        <w:rPr>
          <w:rFonts w:ascii="Times New Roman" w:hAnsi="Times New Roman" w:cs="Times New Roman"/>
          <w:sz w:val="24"/>
          <w:szCs w:val="24"/>
        </w:rPr>
        <w:t xml:space="preserve"> luôn nỗ lực </w:t>
      </w:r>
      <w:r w:rsidRPr="005877D3">
        <w:rPr>
          <w:rFonts w:ascii="Times New Roman" w:hAnsi="Times New Roman" w:cs="Times New Roman"/>
          <w:sz w:val="24"/>
          <w:szCs w:val="24"/>
        </w:rPr>
        <w:lastRenderedPageBreak/>
        <w:t>đem đến cho khách hàng lợi ích thiết thực cho danh mục đầu tư của khách hàng, đặc biệt trong môi trường đầu tư còn non trẻ và nhiều đặc thù như Việt Nam.</w:t>
      </w:r>
    </w:p>
    <w:p w:rsidR="00DD6C81" w:rsidRPr="00932ED0" w:rsidRDefault="00DD6C81" w:rsidP="005877D3">
      <w:pPr>
        <w:pStyle w:val="ListParagraph"/>
        <w:rPr>
          <w:rFonts w:ascii="Times New Roman" w:hAnsi="Times New Roman" w:cs="Times New Roman"/>
          <w:sz w:val="24"/>
          <w:szCs w:val="24"/>
        </w:rPr>
      </w:pPr>
    </w:p>
    <w:p w:rsidR="00196715" w:rsidRPr="00DD5330" w:rsidRDefault="00196715" w:rsidP="00196715">
      <w:pPr>
        <w:pStyle w:val="ListParagraph"/>
        <w:numPr>
          <w:ilvl w:val="0"/>
          <w:numId w:val="2"/>
        </w:numPr>
        <w:rPr>
          <w:rFonts w:ascii="Times New Roman" w:hAnsi="Times New Roman" w:cs="Times New Roman"/>
          <w:b/>
          <w:sz w:val="24"/>
          <w:szCs w:val="24"/>
          <w:u w:val="single"/>
        </w:rPr>
      </w:pPr>
      <w:r w:rsidRPr="00DD5330">
        <w:rPr>
          <w:rFonts w:ascii="Times New Roman" w:hAnsi="Times New Roman" w:cs="Times New Roman"/>
          <w:b/>
          <w:sz w:val="24"/>
          <w:szCs w:val="24"/>
          <w:u w:val="single"/>
        </w:rPr>
        <w:t>Mục tiêu</w:t>
      </w:r>
    </w:p>
    <w:p w:rsidR="00196715" w:rsidRDefault="00196715" w:rsidP="00196715">
      <w:pPr>
        <w:ind w:left="720"/>
        <w:rPr>
          <w:rFonts w:ascii="Times New Roman" w:hAnsi="Times New Roman" w:cs="Times New Roman"/>
          <w:sz w:val="24"/>
          <w:szCs w:val="24"/>
        </w:rPr>
      </w:pPr>
      <w:r>
        <w:rPr>
          <w:rFonts w:ascii="Times New Roman" w:hAnsi="Times New Roman" w:cs="Times New Roman"/>
          <w:sz w:val="24"/>
          <w:szCs w:val="24"/>
        </w:rPr>
        <w:t>Cung cấp dịch vụ quản lý danh mục đầu tư tố</w:t>
      </w:r>
      <w:r w:rsidR="005D5CDE">
        <w:rPr>
          <w:rFonts w:ascii="Times New Roman" w:hAnsi="Times New Roman" w:cs="Times New Roman"/>
          <w:sz w:val="24"/>
          <w:szCs w:val="24"/>
        </w:rPr>
        <w:t>t nhất</w:t>
      </w:r>
      <w:r>
        <w:rPr>
          <w:rFonts w:ascii="Times New Roman" w:hAnsi="Times New Roman" w:cs="Times New Roman"/>
          <w:sz w:val="24"/>
          <w:szCs w:val="24"/>
        </w:rPr>
        <w:t>, phù hợp với từng đối tượng khách hàng;</w:t>
      </w:r>
    </w:p>
    <w:p w:rsidR="005B63BC" w:rsidRPr="00DD6C81" w:rsidRDefault="00196715" w:rsidP="00DD6C81">
      <w:pPr>
        <w:ind w:left="720"/>
        <w:rPr>
          <w:rFonts w:ascii="Times New Roman" w:hAnsi="Times New Roman" w:cs="Times New Roman"/>
          <w:sz w:val="24"/>
          <w:szCs w:val="24"/>
        </w:rPr>
      </w:pPr>
      <w:r>
        <w:rPr>
          <w:rFonts w:ascii="Times New Roman" w:hAnsi="Times New Roman" w:cs="Times New Roman"/>
          <w:sz w:val="24"/>
          <w:szCs w:val="24"/>
        </w:rPr>
        <w:t>Xây dựng môi trường làm việc năng động, chuyên nghiệp, minh bạch dựa trên tinh thần đoàn kết, sáng tạo, trách nhiệm và tôn trọng văn hóa kinh doanh.</w:t>
      </w:r>
    </w:p>
    <w:p w:rsidR="00196715" w:rsidRDefault="00E70018" w:rsidP="005877D3">
      <w:pPr>
        <w:pStyle w:val="ListParagraph"/>
        <w:numPr>
          <w:ilvl w:val="0"/>
          <w:numId w:val="2"/>
        </w:numPr>
        <w:rPr>
          <w:rFonts w:ascii="Times New Roman" w:hAnsi="Times New Roman" w:cs="Times New Roman"/>
          <w:b/>
          <w:sz w:val="24"/>
          <w:szCs w:val="24"/>
          <w:u w:val="single"/>
        </w:rPr>
      </w:pPr>
      <w:r w:rsidRPr="00E70018">
        <w:rPr>
          <w:rFonts w:ascii="Times New Roman" w:hAnsi="Times New Roman" w:cs="Times New Roman"/>
          <w:b/>
          <w:sz w:val="24"/>
          <w:szCs w:val="24"/>
          <w:u w:val="single"/>
        </w:rPr>
        <w:t>Bộ quy tắc đạo đức nghề nghiệ</w:t>
      </w:r>
      <w:r w:rsidR="005877D3">
        <w:rPr>
          <w:rFonts w:ascii="Times New Roman" w:hAnsi="Times New Roman" w:cs="Times New Roman"/>
          <w:b/>
          <w:sz w:val="24"/>
          <w:szCs w:val="24"/>
          <w:u w:val="single"/>
        </w:rPr>
        <w:t>p</w:t>
      </w:r>
    </w:p>
    <w:p w:rsidR="00DD6C81" w:rsidRPr="005877D3" w:rsidRDefault="00DD6C81" w:rsidP="00DD6C81">
      <w:pPr>
        <w:pStyle w:val="ListParagraph"/>
        <w:ind w:left="1080"/>
        <w:rPr>
          <w:rFonts w:ascii="Times New Roman" w:hAnsi="Times New Roman" w:cs="Times New Roman"/>
          <w:b/>
          <w:sz w:val="24"/>
          <w:szCs w:val="24"/>
          <w:u w:val="single"/>
        </w:rPr>
      </w:pPr>
    </w:p>
    <w:p w:rsidR="00196715" w:rsidRPr="00340C1C" w:rsidRDefault="00196715" w:rsidP="00196715">
      <w:pPr>
        <w:ind w:left="720"/>
        <w:rPr>
          <w:rFonts w:ascii="Times New Roman" w:hAnsi="Times New Roman" w:cs="Times New Roman"/>
          <w:b/>
          <w:sz w:val="24"/>
          <w:szCs w:val="24"/>
        </w:rPr>
      </w:pPr>
      <w:r w:rsidRPr="00340C1C">
        <w:rPr>
          <w:rFonts w:ascii="Times New Roman" w:hAnsi="Times New Roman" w:cs="Times New Roman"/>
          <w:b/>
          <w:sz w:val="24"/>
          <w:szCs w:val="24"/>
        </w:rPr>
        <w:t>ĐỘI NGŨ NHÂN SỰ</w:t>
      </w:r>
    </w:p>
    <w:p w:rsidR="005968BE" w:rsidRPr="005968BE" w:rsidRDefault="00196715" w:rsidP="00196715">
      <w:pPr>
        <w:pStyle w:val="ListParagraph"/>
        <w:numPr>
          <w:ilvl w:val="0"/>
          <w:numId w:val="3"/>
        </w:numPr>
        <w:rPr>
          <w:rFonts w:ascii="Times New Roman" w:hAnsi="Times New Roman" w:cs="Times New Roman"/>
          <w:sz w:val="24"/>
          <w:szCs w:val="24"/>
        </w:rPr>
      </w:pPr>
      <w:r w:rsidRPr="005968BE">
        <w:rPr>
          <w:rFonts w:ascii="Times New Roman" w:hAnsi="Times New Roman" w:cs="Times New Roman"/>
          <w:b/>
          <w:sz w:val="24"/>
          <w:szCs w:val="24"/>
          <w:u w:val="single"/>
        </w:rPr>
        <w:t>Sơ đồ tổ chức</w:t>
      </w:r>
      <w:r w:rsidR="00BC6B41" w:rsidRPr="005968BE">
        <w:rPr>
          <w:rFonts w:ascii="Times New Roman" w:hAnsi="Times New Roman" w:cs="Times New Roman"/>
          <w:b/>
          <w:sz w:val="24"/>
          <w:szCs w:val="24"/>
        </w:rPr>
        <w:t xml:space="preserve"> </w:t>
      </w:r>
    </w:p>
    <w:p w:rsidR="00196715" w:rsidRPr="005968BE" w:rsidRDefault="008A183C" w:rsidP="005968BE">
      <w:pPr>
        <w:pStyle w:val="ListParagraph"/>
        <w:ind w:left="1080"/>
        <w:rPr>
          <w:rFonts w:ascii="Times New Roman" w:hAnsi="Times New Roman" w:cs="Times New Roman"/>
          <w:sz w:val="24"/>
          <w:szCs w:val="24"/>
        </w:rPr>
      </w:pPr>
      <w:r>
        <w:rPr>
          <w:rFonts w:ascii="Times New Roman" w:hAnsi="Times New Roman" w:cs="Times New Roman"/>
          <w:noProof/>
          <w:sz w:val="24"/>
          <w:szCs w:val="24"/>
        </w:rPr>
        <w:pict>
          <v:group id="_x0000_s1026" style="position:absolute;left:0;text-align:left;margin-left:33.75pt;margin-top:2.65pt;width:441pt;height:149.25pt;z-index:251658240" coordorigin="1808,6907" coordsize="9293,3413">
            <v:shapetype id="_x0000_t32" coordsize="21600,21600" o:spt="32" o:oned="t" path="m,l21600,21600e" filled="f">
              <v:path arrowok="t" fillok="f" o:connecttype="none"/>
              <o:lock v:ext="edit" shapetype="t"/>
            </v:shapetype>
            <v:shape id="_x0000_s1027" type="#_x0000_t32" style="position:absolute;left:6286;top:7715;width:0;height:382" o:connectortype="straight"/>
            <v:shape id="_x0000_s1028" type="#_x0000_t32" style="position:absolute;left:10425;top:8112;width:0;height:425" o:connectortype="straight"/>
            <v:shape id="_x0000_s1029" type="#_x0000_t32" style="position:absolute;left:8790;top:8097;width:1;height:527" o:connectortype="straight"/>
            <v:shape id="_x0000_s1030" type="#_x0000_t32" style="position:absolute;left:7201;top:8097;width:1;height:510" o:connectortype="straight"/>
            <v:shape id="_x0000_s1031" type="#_x0000_t32" style="position:absolute;left:5581;top:8097;width:0;height:527" o:connectortype="straight"/>
            <v:shape id="_x0000_s1032" type="#_x0000_t32" style="position:absolute;left:4065;top:8112;width:1;height:512" o:connectortype="straight"/>
            <v:shape id="_x0000_s1033" type="#_x0000_t32" style="position:absolute;left:2461;top:8097;width:1;height:527" o:connectortype="straight"/>
            <v:roundrect id="_x0000_s1034" style="position:absolute;left:4916;top:6907;width:2699;height:810" arcsize="10923f" fillcolor="#9bbb59 [3206]" strokecolor="#f2f2f2 [3041]" strokeweight="3pt">
              <v:shadow on="t" type="perspective" color="#4e6128 [1606]" opacity=".5" offset="1pt" offset2="-1pt"/>
              <v:textbox style="mso-next-textbox:#_x0000_s1034">
                <w:txbxContent>
                  <w:p w:rsidR="00196715" w:rsidRPr="009E632A" w:rsidRDefault="00340C1C" w:rsidP="00196715">
                    <w:pPr>
                      <w:jc w:val="center"/>
                      <w:rPr>
                        <w:rFonts w:ascii="Times New Roman" w:hAnsi="Times New Roman" w:cs="Times New Roman"/>
                        <w:b/>
                        <w:sz w:val="30"/>
                        <w:szCs w:val="30"/>
                      </w:rPr>
                    </w:pPr>
                    <w:r>
                      <w:rPr>
                        <w:rFonts w:ascii="Times New Roman" w:hAnsi="Times New Roman" w:cs="Times New Roman"/>
                        <w:b/>
                        <w:sz w:val="30"/>
                        <w:szCs w:val="30"/>
                      </w:rPr>
                      <w:t>IFMC</w:t>
                    </w:r>
                  </w:p>
                </w:txbxContent>
              </v:textbox>
            </v:roundrect>
            <v:roundrect id="_x0000_s1035" style="position:absolute;left:1808;top:8624;width:1205;height:1696" arcsize="10923f" fillcolor="#9bbb59 [3206]" strokecolor="#f2f2f2 [3041]" strokeweight="3pt">
              <v:shadow on="t" type="perspective" color="#4e6128 [1606]" opacity=".5" offset="1pt" offset2="-1pt"/>
              <v:textbox style="mso-next-textbox:#_x0000_s1035">
                <w:txbxContent>
                  <w:p w:rsidR="00196715" w:rsidRPr="008B5DAA" w:rsidRDefault="00196715" w:rsidP="00196715">
                    <w:pPr>
                      <w:jc w:val="center"/>
                      <w:rPr>
                        <w:rFonts w:ascii="Times New Roman" w:hAnsi="Times New Roman" w:cs="Times New Roman"/>
                        <w:b/>
                      </w:rPr>
                    </w:pPr>
                    <w:r>
                      <w:rPr>
                        <w:rFonts w:ascii="Times New Roman" w:hAnsi="Times New Roman" w:cs="Times New Roman"/>
                        <w:b/>
                      </w:rPr>
                      <w:t xml:space="preserve">Phòng </w:t>
                    </w:r>
                    <w:r w:rsidR="00B60DCB">
                      <w:rPr>
                        <w:rFonts w:ascii="Times New Roman" w:hAnsi="Times New Roman" w:cs="Times New Roman"/>
                        <w:b/>
                      </w:rPr>
                      <w:t>Phân tích-</w:t>
                    </w:r>
                    <w:r>
                      <w:rPr>
                        <w:rFonts w:ascii="Times New Roman" w:hAnsi="Times New Roman" w:cs="Times New Roman"/>
                        <w:b/>
                      </w:rPr>
                      <w:t>Đầu tư</w:t>
                    </w:r>
                  </w:p>
                </w:txbxContent>
              </v:textbox>
            </v:roundrect>
            <v:roundrect id="_x0000_s1036" style="position:absolute;left:3400;top:8624;width:1219;height:1696" arcsize="10923f" fillcolor="#9bbb59 [3206]" strokecolor="#f2f2f2 [3041]" strokeweight="3pt">
              <v:shadow on="t" type="perspective" color="#4e6128 [1606]" opacity=".5" offset="1pt" offset2="-1pt"/>
              <v:textbox style="mso-next-textbox:#_x0000_s1036">
                <w:txbxContent>
                  <w:p w:rsidR="00196715" w:rsidRPr="008B5DAA" w:rsidRDefault="00196715" w:rsidP="00196715">
                    <w:pPr>
                      <w:jc w:val="center"/>
                      <w:rPr>
                        <w:rFonts w:ascii="Times New Roman" w:hAnsi="Times New Roman" w:cs="Times New Roman"/>
                        <w:b/>
                      </w:rPr>
                    </w:pPr>
                    <w:r>
                      <w:rPr>
                        <w:rFonts w:ascii="Times New Roman" w:hAnsi="Times New Roman" w:cs="Times New Roman"/>
                        <w:b/>
                      </w:rPr>
                      <w:t>Phòng K</w:t>
                    </w:r>
                    <w:r w:rsidRPr="008B5DAA">
                      <w:rPr>
                        <w:rFonts w:ascii="Times New Roman" w:hAnsi="Times New Roman" w:cs="Times New Roman"/>
                        <w:b/>
                      </w:rPr>
                      <w:t>inh doanh</w:t>
                    </w:r>
                  </w:p>
                </w:txbxContent>
              </v:textbox>
            </v:roundrect>
            <v:roundrect id="_x0000_s1037" style="position:absolute;left:8255;top:8624;width:1260;height:1696" arcsize="10923f" fillcolor="#9bbb59 [3206]" strokecolor="#f2f2f2 [3041]" strokeweight="3pt">
              <v:shadow on="t" type="perspective" color="#4e6128 [1606]" opacity=".5" offset="1pt" offset2="-1pt"/>
              <v:textbox style="mso-next-textbox:#_x0000_s1037">
                <w:txbxContent>
                  <w:p w:rsidR="00196715" w:rsidRPr="008B5DAA" w:rsidRDefault="00196715" w:rsidP="00196715">
                    <w:pPr>
                      <w:jc w:val="center"/>
                      <w:rPr>
                        <w:rFonts w:ascii="Times New Roman" w:hAnsi="Times New Roman" w:cs="Times New Roman"/>
                        <w:b/>
                      </w:rPr>
                    </w:pPr>
                    <w:r>
                      <w:rPr>
                        <w:rFonts w:ascii="Times New Roman" w:hAnsi="Times New Roman" w:cs="Times New Roman"/>
                        <w:b/>
                      </w:rPr>
                      <w:t>Phòng K</w:t>
                    </w:r>
                    <w:r w:rsidRPr="008B5DAA">
                      <w:rPr>
                        <w:rFonts w:ascii="Times New Roman" w:hAnsi="Times New Roman" w:cs="Times New Roman"/>
                        <w:b/>
                      </w:rPr>
                      <w:t>ế toán</w:t>
                    </w:r>
                    <w:r>
                      <w:rPr>
                        <w:rFonts w:ascii="Times New Roman" w:hAnsi="Times New Roman" w:cs="Times New Roman"/>
                        <w:b/>
                      </w:rPr>
                      <w:t xml:space="preserve"> – Tài chính</w:t>
                    </w:r>
                  </w:p>
                </w:txbxContent>
              </v:textbox>
            </v:roundrect>
            <v:roundrect id="_x0000_s1038" style="position:absolute;left:6629;top:8624;width:1289;height:1696" arcsize="10923f" fillcolor="#9bbb59 [3206]" strokecolor="#f2f2f2 [3041]" strokeweight="3pt">
              <v:shadow on="t" type="perspective" color="#4e6128 [1606]" opacity=".5" offset="1pt" offset2="-1pt"/>
              <v:textbox style="mso-next-textbox:#_x0000_s1038">
                <w:txbxContent>
                  <w:p w:rsidR="00196715" w:rsidRPr="008B5DAA" w:rsidRDefault="00196715" w:rsidP="00196715">
                    <w:pPr>
                      <w:jc w:val="center"/>
                      <w:rPr>
                        <w:rFonts w:ascii="Times New Roman" w:hAnsi="Times New Roman" w:cs="Times New Roman"/>
                        <w:b/>
                      </w:rPr>
                    </w:pPr>
                    <w:r>
                      <w:rPr>
                        <w:rFonts w:ascii="Times New Roman" w:hAnsi="Times New Roman" w:cs="Times New Roman"/>
                        <w:b/>
                      </w:rPr>
                      <w:t>Phòng N</w:t>
                    </w:r>
                    <w:r w:rsidRPr="008B5DAA">
                      <w:rPr>
                        <w:rFonts w:ascii="Times New Roman" w:hAnsi="Times New Roman" w:cs="Times New Roman"/>
                        <w:b/>
                      </w:rPr>
                      <w:t>guồn vốn</w:t>
                    </w:r>
                  </w:p>
                </w:txbxContent>
              </v:textbox>
            </v:roundrect>
            <v:roundrect id="_x0000_s1039" style="position:absolute;left:9827;top:8555;width:1274;height:1765" arcsize="10923f" fillcolor="#9bbb59 [3206]" strokecolor="#f2f2f2 [3041]" strokeweight="3pt">
              <v:shadow on="t" type="perspective" color="#4e6128 [1606]" opacity=".5" offset="1pt" offset2="-1pt"/>
              <v:textbox style="mso-next-textbox:#_x0000_s1039">
                <w:txbxContent>
                  <w:p w:rsidR="00196715" w:rsidRPr="004554AD" w:rsidRDefault="00196715" w:rsidP="00196715">
                    <w:pPr>
                      <w:jc w:val="center"/>
                      <w:rPr>
                        <w:rFonts w:ascii="Times New Roman" w:hAnsi="Times New Roman" w:cs="Times New Roman"/>
                        <w:b/>
                      </w:rPr>
                    </w:pPr>
                    <w:r>
                      <w:rPr>
                        <w:rFonts w:ascii="Times New Roman" w:hAnsi="Times New Roman" w:cs="Times New Roman"/>
                        <w:b/>
                      </w:rPr>
                      <w:t xml:space="preserve">Phòng Hành chính - </w:t>
                    </w:r>
                    <w:r w:rsidRPr="004554AD">
                      <w:rPr>
                        <w:rFonts w:ascii="Times New Roman" w:hAnsi="Times New Roman" w:cs="Times New Roman"/>
                        <w:b/>
                      </w:rPr>
                      <w:t>nhân sự</w:t>
                    </w:r>
                  </w:p>
                </w:txbxContent>
              </v:textbox>
            </v:roundrect>
            <v:roundrect id="_x0000_s1040" style="position:absolute;left:5006;top:8624;width:1191;height:1696" arcsize="10923f" fillcolor="#9bbb59 [3206]" strokecolor="#f2f2f2 [3041]" strokeweight="3pt">
              <v:shadow on="t" type="perspective" color="#4e6128 [1606]" opacity=".5" offset="1pt" offset2="-1pt"/>
              <v:textbox style="mso-next-textbox:#_x0000_s1040">
                <w:txbxContent>
                  <w:p w:rsidR="00196715" w:rsidRPr="004554AD" w:rsidRDefault="00196715" w:rsidP="00196715">
                    <w:pPr>
                      <w:jc w:val="center"/>
                      <w:rPr>
                        <w:rFonts w:ascii="Times New Roman" w:hAnsi="Times New Roman" w:cs="Times New Roman"/>
                        <w:b/>
                      </w:rPr>
                    </w:pPr>
                    <w:r w:rsidRPr="004554AD">
                      <w:rPr>
                        <w:rFonts w:ascii="Times New Roman" w:hAnsi="Times New Roman" w:cs="Times New Roman"/>
                        <w:b/>
                      </w:rPr>
                      <w:t>Phòng IT</w:t>
                    </w:r>
                  </w:p>
                </w:txbxContent>
              </v:textbox>
            </v:roundrect>
            <v:shape id="_x0000_s1041" type="#_x0000_t32" style="position:absolute;left:2462;top:8097;width:7963;height:0" o:connectortype="straight"/>
          </v:group>
        </w:pict>
      </w:r>
    </w:p>
    <w:p w:rsidR="00196715" w:rsidRPr="00196715" w:rsidRDefault="00196715" w:rsidP="00196715">
      <w:pPr>
        <w:rPr>
          <w:rFonts w:ascii="Times New Roman" w:hAnsi="Times New Roman" w:cs="Times New Roman"/>
          <w:sz w:val="24"/>
          <w:szCs w:val="24"/>
        </w:rPr>
      </w:pPr>
    </w:p>
    <w:p w:rsidR="00196715" w:rsidRPr="00196715" w:rsidRDefault="00196715" w:rsidP="00196715">
      <w:pPr>
        <w:rPr>
          <w:rFonts w:ascii="Times New Roman" w:hAnsi="Times New Roman" w:cs="Times New Roman"/>
          <w:sz w:val="24"/>
          <w:szCs w:val="24"/>
        </w:rPr>
      </w:pPr>
    </w:p>
    <w:p w:rsidR="00196715" w:rsidRPr="00196715" w:rsidRDefault="00196715" w:rsidP="00196715">
      <w:pPr>
        <w:rPr>
          <w:rFonts w:ascii="Times New Roman" w:hAnsi="Times New Roman" w:cs="Times New Roman"/>
          <w:sz w:val="24"/>
          <w:szCs w:val="24"/>
        </w:rPr>
      </w:pPr>
    </w:p>
    <w:p w:rsidR="00196715" w:rsidRPr="00196715" w:rsidRDefault="00196715" w:rsidP="00196715">
      <w:pPr>
        <w:rPr>
          <w:rFonts w:ascii="Times New Roman" w:hAnsi="Times New Roman" w:cs="Times New Roman"/>
          <w:sz w:val="24"/>
          <w:szCs w:val="24"/>
        </w:rPr>
      </w:pPr>
    </w:p>
    <w:p w:rsidR="00196715" w:rsidRPr="00196715" w:rsidRDefault="00196715" w:rsidP="00196715">
      <w:pPr>
        <w:rPr>
          <w:rFonts w:ascii="Times New Roman" w:hAnsi="Times New Roman" w:cs="Times New Roman"/>
          <w:sz w:val="24"/>
          <w:szCs w:val="24"/>
        </w:rPr>
      </w:pPr>
    </w:p>
    <w:p w:rsidR="00196715" w:rsidRDefault="00196715" w:rsidP="00196715">
      <w:pPr>
        <w:rPr>
          <w:rFonts w:ascii="Times New Roman" w:hAnsi="Times New Roman" w:cs="Times New Roman"/>
          <w:sz w:val="24"/>
          <w:szCs w:val="24"/>
        </w:rPr>
      </w:pPr>
    </w:p>
    <w:p w:rsidR="00196715" w:rsidRPr="00DD5330" w:rsidRDefault="00196715" w:rsidP="00196715">
      <w:pPr>
        <w:pStyle w:val="ListParagraph"/>
        <w:numPr>
          <w:ilvl w:val="0"/>
          <w:numId w:val="3"/>
        </w:numPr>
        <w:rPr>
          <w:rFonts w:ascii="Times New Roman" w:hAnsi="Times New Roman" w:cs="Times New Roman"/>
          <w:b/>
          <w:sz w:val="24"/>
          <w:szCs w:val="24"/>
          <w:u w:val="single"/>
        </w:rPr>
      </w:pPr>
      <w:r w:rsidRPr="00DD5330">
        <w:rPr>
          <w:rFonts w:ascii="Times New Roman" w:hAnsi="Times New Roman" w:cs="Times New Roman"/>
          <w:b/>
          <w:sz w:val="24"/>
          <w:szCs w:val="24"/>
          <w:u w:val="single"/>
        </w:rPr>
        <w:t>Nhân sự con người</w:t>
      </w:r>
    </w:p>
    <w:p w:rsidR="00196715" w:rsidRDefault="00196715" w:rsidP="0081479B">
      <w:pPr>
        <w:jc w:val="both"/>
        <w:rPr>
          <w:rFonts w:ascii="Times New Roman" w:hAnsi="Times New Roman" w:cs="Times New Roman"/>
          <w:b/>
          <w:u w:val="single"/>
        </w:rPr>
      </w:pPr>
      <w:r>
        <w:rPr>
          <w:rFonts w:ascii="Times New Roman" w:hAnsi="Times New Roman" w:cs="Times New Roman"/>
          <w:b/>
        </w:rPr>
        <w:t xml:space="preserve">             </w:t>
      </w:r>
      <w:r w:rsidRPr="00BC768A">
        <w:rPr>
          <w:rFonts w:ascii="Times New Roman" w:hAnsi="Times New Roman" w:cs="Times New Roman"/>
          <w:b/>
          <w:u w:val="single"/>
        </w:rPr>
        <w:t>Hội đồng quản trị</w:t>
      </w:r>
    </w:p>
    <w:p w:rsidR="00196715" w:rsidRDefault="00196715" w:rsidP="0081479B">
      <w:pPr>
        <w:pStyle w:val="ListParagraph"/>
        <w:jc w:val="both"/>
        <w:rPr>
          <w:rFonts w:ascii="Times New Roman" w:hAnsi="Times New Roman"/>
          <w:b/>
        </w:rPr>
      </w:pPr>
      <w:r w:rsidRPr="003500C2">
        <w:rPr>
          <w:rFonts w:ascii="Times New Roman" w:hAnsi="Times New Roman"/>
          <w:b/>
        </w:rPr>
        <w:t>Chủ tịch HĐQT: TS. Nguyễn Thị Loan</w:t>
      </w:r>
    </w:p>
    <w:p w:rsidR="000920D5" w:rsidRPr="003500C2" w:rsidRDefault="000920D5" w:rsidP="0081479B">
      <w:pPr>
        <w:pStyle w:val="ListParagraph"/>
        <w:jc w:val="both"/>
        <w:rPr>
          <w:rFonts w:ascii="Times New Roman" w:hAnsi="Times New Roman"/>
        </w:rPr>
      </w:pPr>
    </w:p>
    <w:p w:rsidR="00B80C5B" w:rsidRDefault="00196715" w:rsidP="0081479B">
      <w:pPr>
        <w:pStyle w:val="ListParagraph"/>
        <w:jc w:val="both"/>
        <w:rPr>
          <w:rFonts w:ascii="Times New Roman" w:hAnsi="Times New Roman"/>
        </w:rPr>
      </w:pPr>
      <w:r w:rsidRPr="003500C2">
        <w:rPr>
          <w:rFonts w:ascii="Times New Roman" w:hAnsi="Times New Roman"/>
        </w:rPr>
        <w:t>Bà Nguyễn Thị Loan là Tiến sỹ Kinh tế, với bề</w:t>
      </w:r>
      <w:r>
        <w:rPr>
          <w:rFonts w:ascii="Times New Roman" w:hAnsi="Times New Roman"/>
        </w:rPr>
        <w:t xml:space="preserve"> dày gần 20</w:t>
      </w:r>
      <w:r w:rsidRPr="003500C2">
        <w:rPr>
          <w:rFonts w:ascii="Times New Roman" w:hAnsi="Times New Roman"/>
        </w:rPr>
        <w:t xml:space="preserve"> năm kinh nghiệm làm việc trong lĩnh vực tài chính, chứng khoán và hoạt động giao dịch trên thị trường và là một trong những người đầu tiên nhận được chứng chỉ quản lý quỹ do Uỷ ban chứng khoán Nhà Nước cấp cho những người đủ tiêu chuẩn và kinh nghiệm quản lý trong lĩnh vực chứng khoán tại Việt Nam. </w:t>
      </w:r>
    </w:p>
    <w:p w:rsidR="000920D5" w:rsidRDefault="000920D5" w:rsidP="0081479B">
      <w:pPr>
        <w:pStyle w:val="ListParagraph"/>
        <w:jc w:val="both"/>
        <w:rPr>
          <w:rFonts w:ascii="Times New Roman" w:hAnsi="Times New Roman"/>
        </w:rPr>
      </w:pPr>
    </w:p>
    <w:p w:rsidR="00B80C5B" w:rsidRDefault="00B80C5B" w:rsidP="0081479B">
      <w:pPr>
        <w:pStyle w:val="ListParagraph"/>
        <w:jc w:val="both"/>
        <w:rPr>
          <w:rFonts w:ascii="Times New Roman" w:hAnsi="Times New Roman"/>
        </w:rPr>
      </w:pPr>
      <w:r>
        <w:rPr>
          <w:rFonts w:ascii="Times New Roman" w:hAnsi="Times New Roman"/>
        </w:rPr>
        <w:t>Trước khi sáng lậ</w:t>
      </w:r>
      <w:r w:rsidR="000250BE">
        <w:rPr>
          <w:rFonts w:ascii="Times New Roman" w:hAnsi="Times New Roman"/>
        </w:rPr>
        <w:t xml:space="preserve">p ra </w:t>
      </w:r>
      <w:r w:rsidR="00573F60">
        <w:rPr>
          <w:rFonts w:ascii="Times New Roman" w:hAnsi="Times New Roman"/>
        </w:rPr>
        <w:t>Công ty Cổ phần quả</w:t>
      </w:r>
      <w:r w:rsidR="00454D61">
        <w:rPr>
          <w:rFonts w:ascii="Times New Roman" w:hAnsi="Times New Roman"/>
        </w:rPr>
        <w:t>n lý Qũy Quốc Tế</w:t>
      </w:r>
      <w:r>
        <w:rPr>
          <w:rFonts w:ascii="Times New Roman" w:hAnsi="Times New Roman"/>
        </w:rPr>
        <w:t xml:space="preserve">, bà Loan đã có 12 năm công tác tại Ngân hàng Đầu tư và Phát triển Việt Nam – BIDV </w:t>
      </w:r>
      <w:r w:rsidR="000920D5">
        <w:rPr>
          <w:rFonts w:ascii="Times New Roman" w:hAnsi="Times New Roman"/>
        </w:rPr>
        <w:t xml:space="preserve">và từng giữ chức vụ Trưởng phòng Quản lý rủi ro. </w:t>
      </w:r>
    </w:p>
    <w:p w:rsidR="000920D5" w:rsidRDefault="000920D5" w:rsidP="0081479B">
      <w:pPr>
        <w:pStyle w:val="ListParagraph"/>
        <w:jc w:val="both"/>
        <w:rPr>
          <w:rFonts w:ascii="Times New Roman" w:hAnsi="Times New Roman"/>
        </w:rPr>
      </w:pPr>
    </w:p>
    <w:p w:rsidR="00196715" w:rsidRPr="003500C2" w:rsidRDefault="00196715" w:rsidP="0081479B">
      <w:pPr>
        <w:pStyle w:val="ListParagraph"/>
        <w:jc w:val="both"/>
        <w:rPr>
          <w:rFonts w:ascii="Times New Roman" w:hAnsi="Times New Roman"/>
        </w:rPr>
      </w:pPr>
      <w:r w:rsidRPr="003500C2">
        <w:rPr>
          <w:rFonts w:ascii="Times New Roman" w:hAnsi="Times New Roman"/>
        </w:rPr>
        <w:lastRenderedPageBreak/>
        <w:t xml:space="preserve">Với tầm nhìn chiến lược, bà cùng </w:t>
      </w:r>
      <w:r w:rsidR="000920D5">
        <w:rPr>
          <w:rFonts w:ascii="Times New Roman" w:hAnsi="Times New Roman"/>
        </w:rPr>
        <w:t xml:space="preserve">các </w:t>
      </w:r>
      <w:r w:rsidRPr="003500C2">
        <w:rPr>
          <w:rFonts w:ascii="Times New Roman" w:hAnsi="Times New Roman"/>
        </w:rPr>
        <w:t>thành viên HĐQT &amp; BGĐ luôn tìm kiếm cơ hội mới, hoạch định chiến lược kinh doanh hiệu quả  nhằ</w:t>
      </w:r>
      <w:r>
        <w:rPr>
          <w:rFonts w:ascii="Times New Roman" w:hAnsi="Times New Roman"/>
        </w:rPr>
        <w:t xml:space="preserve">m đưa </w:t>
      </w:r>
      <w:r w:rsidR="00340C1C">
        <w:rPr>
          <w:rFonts w:ascii="Times New Roman" w:hAnsi="Times New Roman"/>
        </w:rPr>
        <w:t>IFMC</w:t>
      </w:r>
      <w:r w:rsidRPr="003500C2">
        <w:rPr>
          <w:rFonts w:ascii="Times New Roman" w:hAnsi="Times New Roman"/>
        </w:rPr>
        <w:t xml:space="preserve"> tiến tới những chuẩn mực quốc tế, biến thách thức thành cơ hội phát triển để đưa </w:t>
      </w:r>
      <w:r w:rsidR="00340C1C">
        <w:rPr>
          <w:rFonts w:ascii="Times New Roman" w:hAnsi="Times New Roman"/>
        </w:rPr>
        <w:t>IFMC</w:t>
      </w:r>
      <w:r w:rsidRPr="003500C2">
        <w:rPr>
          <w:rFonts w:ascii="Times New Roman" w:hAnsi="Times New Roman"/>
        </w:rPr>
        <w:t xml:space="preserve"> có được thế và lực như ngày hôm nay.</w:t>
      </w:r>
    </w:p>
    <w:p w:rsidR="00196715" w:rsidRPr="003500C2" w:rsidRDefault="00196715" w:rsidP="0081479B">
      <w:pPr>
        <w:pStyle w:val="ListParagraph"/>
        <w:jc w:val="both"/>
        <w:rPr>
          <w:rFonts w:ascii="Times New Roman" w:hAnsi="Times New Roman"/>
        </w:rPr>
      </w:pPr>
    </w:p>
    <w:p w:rsidR="00196715" w:rsidRDefault="00235DB6" w:rsidP="0081479B">
      <w:pPr>
        <w:pStyle w:val="ListParagraph"/>
        <w:jc w:val="both"/>
        <w:rPr>
          <w:rFonts w:ascii="Times New Roman" w:hAnsi="Times New Roman"/>
          <w:b/>
        </w:rPr>
      </w:pPr>
      <w:r>
        <w:rPr>
          <w:rFonts w:ascii="Times New Roman" w:hAnsi="Times New Roman"/>
          <w:b/>
        </w:rPr>
        <w:t>Thành</w:t>
      </w:r>
      <w:r w:rsidR="009438AF">
        <w:rPr>
          <w:rFonts w:ascii="Times New Roman" w:hAnsi="Times New Roman"/>
          <w:b/>
        </w:rPr>
        <w:t xml:space="preserve"> viên HĐQT</w:t>
      </w:r>
      <w:r w:rsidR="00196715" w:rsidRPr="009C5334">
        <w:rPr>
          <w:rFonts w:ascii="Times New Roman" w:hAnsi="Times New Roman"/>
          <w:b/>
        </w:rPr>
        <w:t>: Ông Ngô Quang Trung</w:t>
      </w:r>
    </w:p>
    <w:p w:rsidR="00E9066B" w:rsidRPr="009C5334" w:rsidRDefault="00E9066B" w:rsidP="0081479B">
      <w:pPr>
        <w:pStyle w:val="ListParagraph"/>
        <w:jc w:val="both"/>
        <w:rPr>
          <w:rFonts w:ascii="Times New Roman" w:hAnsi="Times New Roman"/>
          <w:b/>
        </w:rPr>
      </w:pPr>
    </w:p>
    <w:p w:rsidR="00E9066B" w:rsidRDefault="00196715" w:rsidP="0081479B">
      <w:pPr>
        <w:pStyle w:val="ListParagraph"/>
        <w:jc w:val="both"/>
        <w:rPr>
          <w:rFonts w:ascii="Times New Roman" w:hAnsi="Times New Roman"/>
        </w:rPr>
      </w:pPr>
      <w:r>
        <w:rPr>
          <w:rFonts w:ascii="Times New Roman" w:hAnsi="Times New Roman"/>
        </w:rPr>
        <w:t xml:space="preserve">Ông Ngô Quang Trung là Cử nhân QTKD. Ông có hơn 10 năm kinh nghiệm làm việc trong lĩnh vực kinh tế tài chính. </w:t>
      </w:r>
    </w:p>
    <w:p w:rsidR="00E9066B" w:rsidRDefault="00E9066B" w:rsidP="0081479B">
      <w:pPr>
        <w:pStyle w:val="ListParagraph"/>
        <w:jc w:val="both"/>
        <w:rPr>
          <w:rFonts w:ascii="Times New Roman" w:hAnsi="Times New Roman"/>
        </w:rPr>
      </w:pPr>
    </w:p>
    <w:p w:rsidR="00E9066B" w:rsidRDefault="00E9066B" w:rsidP="0081479B">
      <w:pPr>
        <w:pStyle w:val="ListParagraph"/>
        <w:jc w:val="both"/>
        <w:rPr>
          <w:rFonts w:ascii="Times New Roman" w:hAnsi="Times New Roman"/>
        </w:rPr>
      </w:pPr>
      <w:r>
        <w:rPr>
          <w:rFonts w:ascii="Times New Roman" w:hAnsi="Times New Roman"/>
        </w:rPr>
        <w:t>Trước khi gia nhập Công ty Cổ phần quản lý Qũy Quốc Tế, ô</w:t>
      </w:r>
      <w:r w:rsidR="00196715">
        <w:rPr>
          <w:rFonts w:ascii="Times New Roman" w:hAnsi="Times New Roman"/>
        </w:rPr>
        <w:t>ng từng giữ nhiều chức vụ quan trọng trong các Tập đoàn kinh tế hàng đầu tại Việt Nam</w:t>
      </w:r>
      <w:r>
        <w:rPr>
          <w:rFonts w:ascii="Times New Roman" w:hAnsi="Times New Roman"/>
        </w:rPr>
        <w:t xml:space="preserve"> như Công ty điện tử SAMSUNGVINA</w:t>
      </w:r>
      <w:r w:rsidR="00196715">
        <w:rPr>
          <w:rFonts w:ascii="Times New Roman" w:hAnsi="Times New Roman"/>
        </w:rPr>
        <w:t>,</w:t>
      </w:r>
      <w:r>
        <w:rPr>
          <w:rFonts w:ascii="Times New Roman" w:hAnsi="Times New Roman"/>
        </w:rPr>
        <w:t xml:space="preserve"> Công ty Viễn thông Quân đội, Công ty Constrexim Thăng Long, Tổng Công ty Điện lực Việt Nam.</w:t>
      </w:r>
    </w:p>
    <w:p w:rsidR="00E9066B" w:rsidRDefault="00E9066B" w:rsidP="0081479B">
      <w:pPr>
        <w:pStyle w:val="ListParagraph"/>
        <w:jc w:val="both"/>
        <w:rPr>
          <w:rFonts w:ascii="Times New Roman" w:hAnsi="Times New Roman"/>
        </w:rPr>
      </w:pPr>
    </w:p>
    <w:p w:rsidR="00196715" w:rsidRDefault="00E9066B" w:rsidP="0081479B">
      <w:pPr>
        <w:pStyle w:val="ListParagraph"/>
        <w:jc w:val="both"/>
        <w:rPr>
          <w:rFonts w:ascii="Times New Roman" w:hAnsi="Times New Roman"/>
        </w:rPr>
      </w:pPr>
      <w:r>
        <w:rPr>
          <w:rFonts w:ascii="Times New Roman" w:hAnsi="Times New Roman"/>
        </w:rPr>
        <w:t xml:space="preserve"> H</w:t>
      </w:r>
      <w:r w:rsidR="00196715">
        <w:rPr>
          <w:rFonts w:ascii="Times New Roman" w:hAnsi="Times New Roman"/>
        </w:rPr>
        <w:t>iện nay</w:t>
      </w:r>
      <w:r>
        <w:rPr>
          <w:rFonts w:ascii="Times New Roman" w:hAnsi="Times New Roman"/>
        </w:rPr>
        <w:t>, ông Trung</w:t>
      </w:r>
      <w:r w:rsidR="00196715">
        <w:rPr>
          <w:rFonts w:ascii="Times New Roman" w:hAnsi="Times New Roman"/>
        </w:rPr>
        <w:t xml:space="preserve"> là thành viên chủ chố</w:t>
      </w:r>
      <w:r w:rsidR="000250BE">
        <w:rPr>
          <w:rFonts w:ascii="Times New Roman" w:hAnsi="Times New Roman"/>
        </w:rPr>
        <w:t xml:space="preserve">t của </w:t>
      </w:r>
      <w:r>
        <w:rPr>
          <w:rFonts w:ascii="Times New Roman" w:hAnsi="Times New Roman"/>
        </w:rPr>
        <w:t>Công ty Cổ phần quản lý Qũy Quốc Tế</w:t>
      </w:r>
      <w:r w:rsidR="00196715">
        <w:rPr>
          <w:rFonts w:ascii="Times New Roman" w:hAnsi="Times New Roman"/>
        </w:rPr>
        <w:t>. Với bề dày kinh nghiệm cũng như kiến thức kinh tế</w:t>
      </w:r>
      <w:r w:rsidR="004515AE">
        <w:rPr>
          <w:rFonts w:ascii="Times New Roman" w:hAnsi="Times New Roman"/>
        </w:rPr>
        <w:t>, tài chính chuyên sâu</w:t>
      </w:r>
      <w:r w:rsidR="00196715">
        <w:rPr>
          <w:rFonts w:ascii="Times New Roman" w:hAnsi="Times New Roman"/>
        </w:rPr>
        <w:t xml:space="preserve">, ông đã có nhiều đóng góp to lớn cho sự phát triển của </w:t>
      </w:r>
      <w:r w:rsidR="00340C1C">
        <w:rPr>
          <w:rFonts w:ascii="Times New Roman" w:hAnsi="Times New Roman"/>
        </w:rPr>
        <w:t>IFMC</w:t>
      </w:r>
      <w:r w:rsidR="00196715">
        <w:rPr>
          <w:rFonts w:ascii="Times New Roman" w:hAnsi="Times New Roman"/>
        </w:rPr>
        <w:t>.</w:t>
      </w:r>
    </w:p>
    <w:p w:rsidR="004515AE" w:rsidRDefault="004515AE" w:rsidP="0081479B">
      <w:pPr>
        <w:pStyle w:val="ListParagraph"/>
        <w:jc w:val="both"/>
        <w:rPr>
          <w:rFonts w:ascii="Times New Roman" w:hAnsi="Times New Roman"/>
        </w:rPr>
      </w:pPr>
    </w:p>
    <w:p w:rsidR="00196715" w:rsidRDefault="004515AE" w:rsidP="0081479B">
      <w:pPr>
        <w:pStyle w:val="ListParagraph"/>
        <w:tabs>
          <w:tab w:val="left" w:pos="720"/>
          <w:tab w:val="left" w:pos="1170"/>
        </w:tabs>
        <w:jc w:val="both"/>
        <w:rPr>
          <w:rFonts w:ascii="Times New Roman" w:hAnsi="Times New Roman"/>
          <w:b/>
          <w:u w:val="single"/>
        </w:rPr>
      </w:pPr>
      <w:r>
        <w:rPr>
          <w:rFonts w:ascii="Times New Roman" w:hAnsi="Times New Roman"/>
        </w:rPr>
        <w:t xml:space="preserve"> </w:t>
      </w:r>
      <w:r w:rsidR="00196715" w:rsidRPr="00196715">
        <w:rPr>
          <w:rFonts w:ascii="Times New Roman" w:hAnsi="Times New Roman"/>
          <w:b/>
          <w:u w:val="single"/>
        </w:rPr>
        <w:t xml:space="preserve">Ban Giám đốc </w:t>
      </w:r>
    </w:p>
    <w:p w:rsidR="00340C1C" w:rsidRDefault="000920D5" w:rsidP="0081479B">
      <w:pPr>
        <w:pStyle w:val="ListParagraph"/>
        <w:tabs>
          <w:tab w:val="left" w:pos="720"/>
          <w:tab w:val="left" w:pos="810"/>
        </w:tabs>
        <w:jc w:val="both"/>
        <w:rPr>
          <w:rFonts w:ascii="Times New Roman" w:hAnsi="Times New Roman"/>
          <w:b/>
          <w:u w:val="single"/>
        </w:rPr>
      </w:pPr>
      <w:r>
        <w:rPr>
          <w:rFonts w:ascii="Times New Roman" w:hAnsi="Times New Roman"/>
          <w:b/>
          <w:u w:val="single"/>
        </w:rPr>
        <w:t xml:space="preserve">   </w:t>
      </w:r>
    </w:p>
    <w:p w:rsidR="00196715" w:rsidRPr="00147781" w:rsidRDefault="00196715" w:rsidP="0081479B">
      <w:pPr>
        <w:pStyle w:val="ListParagraph"/>
        <w:tabs>
          <w:tab w:val="left" w:pos="720"/>
          <w:tab w:val="left" w:pos="810"/>
        </w:tabs>
        <w:jc w:val="both"/>
        <w:rPr>
          <w:rFonts w:ascii="Times New Roman" w:hAnsi="Times New Roman" w:cs="Times New Roman"/>
          <w:b/>
        </w:rPr>
      </w:pPr>
      <w:r w:rsidRPr="00147781">
        <w:rPr>
          <w:rFonts w:ascii="Times New Roman" w:hAnsi="Times New Roman" w:cs="Times New Roman"/>
          <w:b/>
        </w:rPr>
        <w:t>Quyền Tổ</w:t>
      </w:r>
      <w:r w:rsidR="00340C1C">
        <w:rPr>
          <w:rFonts w:ascii="Times New Roman" w:hAnsi="Times New Roman" w:cs="Times New Roman"/>
          <w:b/>
        </w:rPr>
        <w:t>ng G</w:t>
      </w:r>
      <w:r w:rsidRPr="00147781">
        <w:rPr>
          <w:rFonts w:ascii="Times New Roman" w:hAnsi="Times New Roman" w:cs="Times New Roman"/>
          <w:b/>
        </w:rPr>
        <w:t>iám đốc: Bà Nguyễn Kim Nguyên</w:t>
      </w:r>
    </w:p>
    <w:p w:rsidR="004515AE" w:rsidRDefault="00196715" w:rsidP="0081479B">
      <w:pPr>
        <w:pStyle w:val="ListParagraph"/>
        <w:tabs>
          <w:tab w:val="left" w:pos="720"/>
          <w:tab w:val="left" w:pos="810"/>
        </w:tabs>
        <w:jc w:val="both"/>
        <w:rPr>
          <w:rFonts w:ascii="Times New Roman" w:hAnsi="Times New Roman" w:cs="Times New Roman"/>
        </w:rPr>
      </w:pPr>
      <w:r w:rsidRPr="00147781">
        <w:rPr>
          <w:rFonts w:ascii="Times New Roman" w:hAnsi="Times New Roman" w:cs="Times New Roman"/>
        </w:rPr>
        <w:t xml:space="preserve">Bà Nguyên là cử nhân kinh tế. Bà có hơn 11 năm kinh nghiệm công tác trong lĩnh vưc kế toán tài chính và hơn 5 năm kinh nghiệm trong lĩnh vực Kế toán lưu ký tại các công ty Chứng khoán lớn tại Việt Nam. </w:t>
      </w:r>
    </w:p>
    <w:p w:rsidR="00633656" w:rsidRDefault="00633656" w:rsidP="0081479B">
      <w:pPr>
        <w:pStyle w:val="ListParagraph"/>
        <w:tabs>
          <w:tab w:val="left" w:pos="720"/>
          <w:tab w:val="left" w:pos="810"/>
        </w:tabs>
        <w:jc w:val="both"/>
        <w:rPr>
          <w:rFonts w:ascii="Times New Roman" w:hAnsi="Times New Roman" w:cs="Times New Roman"/>
        </w:rPr>
      </w:pPr>
    </w:p>
    <w:p w:rsidR="004515AE" w:rsidRDefault="004515AE" w:rsidP="0081479B">
      <w:pPr>
        <w:pStyle w:val="ListParagraph"/>
        <w:tabs>
          <w:tab w:val="left" w:pos="720"/>
          <w:tab w:val="left" w:pos="810"/>
        </w:tabs>
        <w:jc w:val="both"/>
        <w:rPr>
          <w:rFonts w:ascii="Times New Roman" w:hAnsi="Times New Roman" w:cs="Times New Roman"/>
        </w:rPr>
      </w:pPr>
      <w:r>
        <w:rPr>
          <w:rFonts w:ascii="Times New Roman" w:hAnsi="Times New Roman" w:cs="Times New Roman"/>
        </w:rPr>
        <w:t>Trước khi làm việc tại Công ty Cổ phần quản lý Qũy Quốc Tế, bà Nguyên từng giữ chức vụ kế toán trưởng tại công ty Sơn giao thông Kova, phó phòng kế toán lưu ký tại Công ty Cổ phần Chứng khoán Tràng An.</w:t>
      </w:r>
    </w:p>
    <w:p w:rsidR="004515AE" w:rsidRDefault="004515AE" w:rsidP="0081479B">
      <w:pPr>
        <w:pStyle w:val="ListParagraph"/>
        <w:tabs>
          <w:tab w:val="left" w:pos="720"/>
          <w:tab w:val="left" w:pos="810"/>
        </w:tabs>
        <w:jc w:val="both"/>
        <w:rPr>
          <w:rFonts w:ascii="Times New Roman" w:hAnsi="Times New Roman" w:cs="Times New Roman"/>
        </w:rPr>
      </w:pPr>
    </w:p>
    <w:p w:rsidR="00196715" w:rsidRPr="00147781" w:rsidRDefault="004515AE" w:rsidP="0081479B">
      <w:pPr>
        <w:pStyle w:val="ListParagraph"/>
        <w:tabs>
          <w:tab w:val="left" w:pos="720"/>
          <w:tab w:val="left" w:pos="810"/>
        </w:tabs>
        <w:jc w:val="both"/>
        <w:rPr>
          <w:rFonts w:ascii="Times New Roman" w:hAnsi="Times New Roman" w:cs="Times New Roman"/>
        </w:rPr>
      </w:pPr>
      <w:r>
        <w:rPr>
          <w:rFonts w:ascii="Times New Roman" w:hAnsi="Times New Roman" w:cs="Times New Roman"/>
        </w:rPr>
        <w:t>Hiện nay</w:t>
      </w:r>
      <w:r w:rsidR="00196715" w:rsidRPr="00147781">
        <w:rPr>
          <w:rFonts w:ascii="Times New Roman" w:hAnsi="Times New Roman" w:cs="Times New Roman"/>
        </w:rPr>
        <w:t xml:space="preserve">, bà Nguyên </w:t>
      </w:r>
      <w:r>
        <w:rPr>
          <w:rFonts w:ascii="Times New Roman" w:hAnsi="Times New Roman" w:cs="Times New Roman"/>
        </w:rPr>
        <w:t>đang nắm giữ chức vụ</w:t>
      </w:r>
      <w:r w:rsidR="00507CE2">
        <w:rPr>
          <w:rFonts w:ascii="Times New Roman" w:hAnsi="Times New Roman" w:cs="Times New Roman"/>
        </w:rPr>
        <w:t xml:space="preserve"> </w:t>
      </w:r>
      <w:r>
        <w:rPr>
          <w:rFonts w:ascii="Times New Roman" w:hAnsi="Times New Roman" w:cs="Times New Roman"/>
        </w:rPr>
        <w:t>Quyền Tổng giám đốc Công ty Cổ phần quản lý Qũy Quốc Tế</w:t>
      </w:r>
      <w:r w:rsidR="00A031D4">
        <w:rPr>
          <w:rFonts w:ascii="Times New Roman" w:hAnsi="Times New Roman" w:cs="Times New Roman"/>
        </w:rPr>
        <w:t>. Bà</w:t>
      </w:r>
      <w:r>
        <w:rPr>
          <w:rFonts w:ascii="Times New Roman" w:hAnsi="Times New Roman" w:cs="Times New Roman"/>
        </w:rPr>
        <w:t xml:space="preserve"> </w:t>
      </w:r>
      <w:r w:rsidR="00196715" w:rsidRPr="00147781">
        <w:rPr>
          <w:rFonts w:ascii="Times New Roman" w:hAnsi="Times New Roman" w:cs="Times New Roman"/>
        </w:rPr>
        <w:t>là một trong những người luôn theo sát sự thành công củ</w:t>
      </w:r>
      <w:r>
        <w:rPr>
          <w:rFonts w:ascii="Times New Roman" w:hAnsi="Times New Roman" w:cs="Times New Roman"/>
        </w:rPr>
        <w:t>a Công ty trong suốt những năm đầu thành lập đến giờ.</w:t>
      </w:r>
    </w:p>
    <w:p w:rsidR="00196715" w:rsidRPr="00147781" w:rsidRDefault="00196715" w:rsidP="0081479B">
      <w:pPr>
        <w:pStyle w:val="ListParagraph"/>
        <w:tabs>
          <w:tab w:val="left" w:pos="720"/>
          <w:tab w:val="left" w:pos="810"/>
        </w:tabs>
        <w:jc w:val="both"/>
        <w:rPr>
          <w:rFonts w:ascii="Times New Roman" w:hAnsi="Times New Roman" w:cs="Times New Roman"/>
        </w:rPr>
      </w:pPr>
    </w:p>
    <w:p w:rsidR="00196715" w:rsidRPr="00340C1C" w:rsidRDefault="00340C1C" w:rsidP="0081479B">
      <w:pPr>
        <w:pStyle w:val="ListParagraph"/>
        <w:tabs>
          <w:tab w:val="left" w:pos="720"/>
          <w:tab w:val="left" w:pos="810"/>
        </w:tabs>
        <w:jc w:val="both"/>
        <w:rPr>
          <w:rFonts w:ascii="Times New Roman" w:hAnsi="Times New Roman"/>
          <w:b/>
        </w:rPr>
      </w:pPr>
      <w:r>
        <w:rPr>
          <w:rFonts w:ascii="Times New Roman" w:hAnsi="Times New Roman"/>
          <w:b/>
        </w:rPr>
        <w:t>Phó T</w:t>
      </w:r>
      <w:r w:rsidRPr="00340C1C">
        <w:rPr>
          <w:rFonts w:ascii="Times New Roman" w:hAnsi="Times New Roman"/>
          <w:b/>
        </w:rPr>
        <w:t>ổ</w:t>
      </w:r>
      <w:r>
        <w:rPr>
          <w:rFonts w:ascii="Times New Roman" w:hAnsi="Times New Roman"/>
          <w:b/>
        </w:rPr>
        <w:t>ng G</w:t>
      </w:r>
      <w:r w:rsidRPr="00340C1C">
        <w:rPr>
          <w:rFonts w:ascii="Times New Roman" w:hAnsi="Times New Roman"/>
          <w:b/>
        </w:rPr>
        <w:t xml:space="preserve">iám đốc: </w:t>
      </w:r>
      <w:r w:rsidR="00315DDD">
        <w:rPr>
          <w:rFonts w:ascii="Times New Roman" w:hAnsi="Times New Roman"/>
          <w:b/>
        </w:rPr>
        <w:t xml:space="preserve">Ông </w:t>
      </w:r>
      <w:r w:rsidRPr="00340C1C">
        <w:rPr>
          <w:rFonts w:ascii="Times New Roman" w:hAnsi="Times New Roman"/>
          <w:b/>
        </w:rPr>
        <w:t>Trương Hà Linh</w:t>
      </w:r>
      <w:r w:rsidR="00295ABE">
        <w:rPr>
          <w:rFonts w:ascii="Times New Roman" w:hAnsi="Times New Roman"/>
          <w:b/>
        </w:rPr>
        <w:t xml:space="preserve"> (Cố vấn cao cấp)</w:t>
      </w:r>
    </w:p>
    <w:p w:rsidR="00196715" w:rsidRDefault="00295ABE" w:rsidP="0081479B">
      <w:pPr>
        <w:tabs>
          <w:tab w:val="left" w:pos="720"/>
          <w:tab w:val="left" w:pos="810"/>
          <w:tab w:val="left" w:pos="1110"/>
        </w:tabs>
        <w:ind w:left="720"/>
        <w:jc w:val="both"/>
        <w:rPr>
          <w:rFonts w:ascii="Times New Roman" w:hAnsi="Times New Roman" w:cs="Times New Roman"/>
        </w:rPr>
      </w:pPr>
      <w:r>
        <w:rPr>
          <w:rFonts w:ascii="Times New Roman" w:hAnsi="Times New Roman" w:cs="Times New Roman"/>
        </w:rPr>
        <w:t>Ông Linh là phó giám đốc của Công ty cổ phần quản lý Qũy Quốc Tế. Ông chịu trách nhiệm chung về tất cả</w:t>
      </w:r>
      <w:r w:rsidR="00F55605">
        <w:rPr>
          <w:rFonts w:ascii="Times New Roman" w:hAnsi="Times New Roman" w:cs="Times New Roman"/>
        </w:rPr>
        <w:t xml:space="preserve"> các hoạt của IFMC bao gồm đầu tư, gây quỹ</w:t>
      </w:r>
      <w:r w:rsidR="00DD5330">
        <w:rPr>
          <w:rFonts w:ascii="Times New Roman" w:hAnsi="Times New Roman" w:cs="Times New Roman"/>
        </w:rPr>
        <w:t>,</w:t>
      </w:r>
      <w:r w:rsidR="00F55605">
        <w:rPr>
          <w:rFonts w:ascii="Times New Roman" w:hAnsi="Times New Roman" w:cs="Times New Roman"/>
        </w:rPr>
        <w:t xml:space="preserve"> tiến hành xây dự</w:t>
      </w:r>
      <w:r w:rsidR="00DD5330">
        <w:rPr>
          <w:rFonts w:ascii="Times New Roman" w:hAnsi="Times New Roman" w:cs="Times New Roman"/>
        </w:rPr>
        <w:t xml:space="preserve">ng và </w:t>
      </w:r>
      <w:r w:rsidR="00F55605">
        <w:rPr>
          <w:rFonts w:ascii="Times New Roman" w:hAnsi="Times New Roman" w:cs="Times New Roman"/>
        </w:rPr>
        <w:t>triển khai các chiến lược kinh doanh.</w:t>
      </w:r>
    </w:p>
    <w:p w:rsidR="00F55605" w:rsidRDefault="003F0EAD" w:rsidP="0081479B">
      <w:pPr>
        <w:tabs>
          <w:tab w:val="left" w:pos="720"/>
          <w:tab w:val="left" w:pos="810"/>
          <w:tab w:val="left" w:pos="1110"/>
        </w:tabs>
        <w:ind w:left="720"/>
        <w:jc w:val="both"/>
        <w:rPr>
          <w:rFonts w:ascii="Times New Roman" w:hAnsi="Times New Roman" w:cs="Times New Roman"/>
        </w:rPr>
      </w:pPr>
      <w:r>
        <w:rPr>
          <w:rFonts w:ascii="Times New Roman" w:hAnsi="Times New Roman" w:cs="Times New Roman"/>
        </w:rPr>
        <w:t>Trước khi gia nhậ</w:t>
      </w:r>
      <w:r w:rsidR="002B1A1D">
        <w:rPr>
          <w:rFonts w:ascii="Times New Roman" w:hAnsi="Times New Roman" w:cs="Times New Roman"/>
        </w:rPr>
        <w:t>p IFMC, ông Linh đã từng đảm nhiệm vị trí Trưởng phòng Tư vấn chiến lược độc lập cho các Tập đoàn - Phòng Đầu tư và Dự</w:t>
      </w:r>
      <w:r w:rsidR="00315DDD">
        <w:rPr>
          <w:rFonts w:ascii="Times New Roman" w:hAnsi="Times New Roman" w:cs="Times New Roman"/>
        </w:rPr>
        <w:t xml:space="preserve"> án BĐ</w:t>
      </w:r>
      <w:r w:rsidR="002B1A1D">
        <w:rPr>
          <w:rFonts w:ascii="Times New Roman" w:hAnsi="Times New Roman" w:cs="Times New Roman"/>
        </w:rPr>
        <w:t xml:space="preserve">S - Công ty Collier International Viet Nam. </w:t>
      </w:r>
      <w:r w:rsidR="00930AD2">
        <w:rPr>
          <w:rFonts w:ascii="Times New Roman" w:hAnsi="Times New Roman" w:cs="Times New Roman"/>
        </w:rPr>
        <w:t>Và phụ trách Ban M&amp;A của Tập đoàn AsiaInvest.</w:t>
      </w:r>
    </w:p>
    <w:p w:rsidR="002951F7" w:rsidRDefault="00930AD2" w:rsidP="0081479B">
      <w:pPr>
        <w:tabs>
          <w:tab w:val="left" w:pos="720"/>
          <w:tab w:val="left" w:pos="810"/>
          <w:tab w:val="left" w:pos="1110"/>
        </w:tabs>
        <w:ind w:left="720"/>
        <w:jc w:val="both"/>
        <w:rPr>
          <w:rFonts w:ascii="Times New Roman" w:hAnsi="Times New Roman" w:cs="Times New Roman"/>
        </w:rPr>
      </w:pPr>
      <w:r>
        <w:rPr>
          <w:rFonts w:ascii="Times New Roman" w:hAnsi="Times New Roman" w:cs="Times New Roman"/>
        </w:rPr>
        <w:lastRenderedPageBreak/>
        <w:t>Ông Linh đã từ</w:t>
      </w:r>
      <w:r w:rsidR="008F4223">
        <w:rPr>
          <w:rFonts w:ascii="Times New Roman" w:hAnsi="Times New Roman" w:cs="Times New Roman"/>
        </w:rPr>
        <w:t>ng hợp tác với rất nhiều Tập đoàn</w:t>
      </w:r>
      <w:r w:rsidR="002951F7">
        <w:rPr>
          <w:rFonts w:ascii="Times New Roman" w:hAnsi="Times New Roman" w:cs="Times New Roman"/>
        </w:rPr>
        <w:t xml:space="preserve"> và tên tuổi</w:t>
      </w:r>
      <w:r w:rsidR="008F4223">
        <w:rPr>
          <w:rFonts w:ascii="Times New Roman" w:hAnsi="Times New Roman" w:cs="Times New Roman"/>
        </w:rPr>
        <w:t xml:space="preserve"> lớn như: VinGroup; Sai Gon Asset Management; Mekong Capital; </w:t>
      </w:r>
      <w:r w:rsidR="002951F7">
        <w:rPr>
          <w:rFonts w:ascii="Times New Roman" w:hAnsi="Times New Roman" w:cs="Times New Roman"/>
        </w:rPr>
        <w:t>Đức Long Gia Lai; Sara Window và Sara Plastic tại Lào; T</w:t>
      </w:r>
      <w:r w:rsidR="00315DDD">
        <w:rPr>
          <w:rFonts w:ascii="Times New Roman" w:hAnsi="Times New Roman" w:cs="Times New Roman"/>
        </w:rPr>
        <w:t>ổng</w:t>
      </w:r>
      <w:r w:rsidR="002951F7">
        <w:rPr>
          <w:rFonts w:ascii="Times New Roman" w:hAnsi="Times New Roman" w:cs="Times New Roman"/>
        </w:rPr>
        <w:t xml:space="preserve"> công ty Mía đường I, Tổng công ty Giấy Thống Nhấ</w:t>
      </w:r>
      <w:r w:rsidR="00AB0FF0">
        <w:rPr>
          <w:rFonts w:ascii="Times New Roman" w:hAnsi="Times New Roman" w:cs="Times New Roman"/>
        </w:rPr>
        <w:t>t; Vinax</w:t>
      </w:r>
      <w:r w:rsidR="002951F7">
        <w:rPr>
          <w:rFonts w:ascii="Times New Roman" w:hAnsi="Times New Roman" w:cs="Times New Roman"/>
        </w:rPr>
        <w:t>uki; Nhựa Việt Cường; Gỗ Bắc Á.</w:t>
      </w:r>
    </w:p>
    <w:p w:rsidR="00B84FAF" w:rsidRDefault="002951F7" w:rsidP="0081479B">
      <w:pPr>
        <w:tabs>
          <w:tab w:val="left" w:pos="720"/>
          <w:tab w:val="left" w:pos="810"/>
          <w:tab w:val="left" w:pos="1110"/>
        </w:tabs>
        <w:ind w:left="720"/>
        <w:jc w:val="both"/>
        <w:rPr>
          <w:rFonts w:ascii="Times New Roman" w:hAnsi="Times New Roman" w:cs="Times New Roman"/>
        </w:rPr>
      </w:pPr>
      <w:r>
        <w:rPr>
          <w:rFonts w:ascii="Times New Roman" w:hAnsi="Times New Roman" w:cs="Times New Roman"/>
        </w:rPr>
        <w:t>Với hơn 10 năm kinh nghiệm làm việc trong lĩnh vực tài chính và từng nắm giữ các vị trí chủ chốt tại các doanh nghiệp tên tuổi, ông Linh bắt đầu gia nhập Ban lãnh đạo của IFMC từ tháng 6 năm 2012.</w:t>
      </w:r>
    </w:p>
    <w:p w:rsidR="00B84FAF" w:rsidRPr="00330A88" w:rsidRDefault="00B84FAF" w:rsidP="0081479B">
      <w:pPr>
        <w:tabs>
          <w:tab w:val="left" w:pos="1110"/>
        </w:tabs>
        <w:ind w:left="720"/>
        <w:jc w:val="both"/>
        <w:rPr>
          <w:rFonts w:ascii="Times New Roman" w:hAnsi="Times New Roman" w:cs="Times New Roman"/>
          <w:b/>
        </w:rPr>
      </w:pPr>
      <w:r w:rsidRPr="00330A88">
        <w:rPr>
          <w:rFonts w:ascii="Times New Roman" w:hAnsi="Times New Roman" w:cs="Times New Roman"/>
          <w:b/>
        </w:rPr>
        <w:t>SẢN PHẦM DỊCH VỤ</w:t>
      </w:r>
    </w:p>
    <w:p w:rsidR="00B84FAF" w:rsidRPr="00CE307B" w:rsidRDefault="00633656" w:rsidP="0081479B">
      <w:pPr>
        <w:pStyle w:val="ListParagraph"/>
        <w:numPr>
          <w:ilvl w:val="0"/>
          <w:numId w:val="5"/>
        </w:numPr>
        <w:tabs>
          <w:tab w:val="left" w:pos="1110"/>
        </w:tabs>
        <w:jc w:val="both"/>
        <w:rPr>
          <w:rFonts w:ascii="Times New Roman" w:hAnsi="Times New Roman" w:cs="Times New Roman"/>
          <w:b/>
        </w:rPr>
      </w:pPr>
      <w:r w:rsidRPr="00CE307B">
        <w:rPr>
          <w:rFonts w:ascii="Times New Roman" w:hAnsi="Times New Roman" w:cs="Times New Roman"/>
          <w:b/>
        </w:rPr>
        <w:t>Uỷ thác quản lý tài sản</w:t>
      </w:r>
    </w:p>
    <w:p w:rsidR="00633656" w:rsidRDefault="00633656" w:rsidP="0081479B">
      <w:pPr>
        <w:tabs>
          <w:tab w:val="left" w:pos="1110"/>
        </w:tabs>
        <w:ind w:left="720"/>
        <w:jc w:val="both"/>
        <w:rPr>
          <w:rFonts w:ascii="Times New Roman" w:hAnsi="Times New Roman" w:cs="Times New Roman"/>
        </w:rPr>
      </w:pPr>
      <w:r>
        <w:rPr>
          <w:rFonts w:ascii="Times New Roman" w:hAnsi="Times New Roman" w:cs="Times New Roman"/>
        </w:rPr>
        <w:t>IFMC quản lý tài sản là khoản chứng khoán do Khách hàng, tổ chức, cá nhân mở tại HBS ủy thác. Sau khi ký hợp đồng ủy thác quản lý tài sản với IFMC, Khách hàng sẽ thông báo bằng văn bản (có xác nhận của IFMC) cho HBS về thẩm quyền của IFMC. Sau đó, IFMC sẽ thực hiện quản lý tài khoản được ủy thác bằng cách thực hiện các lệnh giao dịch chứng khoán trên</w:t>
      </w:r>
      <w:r w:rsidR="00190E20">
        <w:rPr>
          <w:rFonts w:ascii="Times New Roman" w:hAnsi="Times New Roman" w:cs="Times New Roman"/>
        </w:rPr>
        <w:t xml:space="preserve"> tài khoản và phù hợp với tình hình thị trường nhằm mang lại hiệu quả cao cho Khách hàng</w:t>
      </w:r>
    </w:p>
    <w:p w:rsidR="00190E20" w:rsidRPr="00CE307B" w:rsidRDefault="00190E20" w:rsidP="0081479B">
      <w:pPr>
        <w:pStyle w:val="ListParagraph"/>
        <w:numPr>
          <w:ilvl w:val="0"/>
          <w:numId w:val="5"/>
        </w:numPr>
        <w:tabs>
          <w:tab w:val="left" w:pos="1110"/>
        </w:tabs>
        <w:jc w:val="both"/>
        <w:rPr>
          <w:rFonts w:ascii="Times New Roman" w:hAnsi="Times New Roman" w:cs="Times New Roman"/>
          <w:b/>
        </w:rPr>
      </w:pPr>
      <w:r w:rsidRPr="00CE307B">
        <w:rPr>
          <w:rFonts w:ascii="Times New Roman" w:hAnsi="Times New Roman" w:cs="Times New Roman"/>
          <w:b/>
        </w:rPr>
        <w:t>Uỷ thác quản lý danh mục đầu tư</w:t>
      </w:r>
    </w:p>
    <w:p w:rsidR="00190E20" w:rsidRDefault="00190E20" w:rsidP="0081479B">
      <w:pPr>
        <w:tabs>
          <w:tab w:val="left" w:pos="1110"/>
        </w:tabs>
        <w:ind w:left="720"/>
        <w:jc w:val="both"/>
        <w:rPr>
          <w:rFonts w:ascii="Times New Roman" w:hAnsi="Times New Roman" w:cs="Times New Roman"/>
        </w:rPr>
      </w:pPr>
      <w:r>
        <w:rPr>
          <w:rFonts w:ascii="Times New Roman" w:hAnsi="Times New Roman" w:cs="Times New Roman"/>
        </w:rPr>
        <w:t>IFMC thực hiện quản lý danh mục đầu tư do Khách hàng tổ chức/cá nhân lưu ký danh mục đầu tư tại Ngân hàng lưu ký. Sau khi ký hợp đồng ủy thác quản lý danh mục đầu tư với IFMC, Khách hàng sẽ chuyển tiền vào tài khoản của IFMC tại Ngân hàng lưu ký. Sau đó, IFMC sẽ thực hiện quản lý danh mục đầu tư được ủy thác theo phương án quản lý danh mục đầu tư đã được Khách hàng thông qua phù hợp với tình hình thị trưởng nhằm mang lại hiểu quả cao cho Khách hàng.</w:t>
      </w:r>
    </w:p>
    <w:p w:rsidR="00190E20" w:rsidRPr="00CE307B" w:rsidRDefault="00190E20" w:rsidP="0081479B">
      <w:pPr>
        <w:pStyle w:val="ListParagraph"/>
        <w:numPr>
          <w:ilvl w:val="0"/>
          <w:numId w:val="5"/>
        </w:numPr>
        <w:tabs>
          <w:tab w:val="left" w:pos="1110"/>
        </w:tabs>
        <w:jc w:val="both"/>
        <w:rPr>
          <w:rFonts w:ascii="Times New Roman" w:hAnsi="Times New Roman" w:cs="Times New Roman"/>
          <w:b/>
        </w:rPr>
      </w:pPr>
      <w:r w:rsidRPr="00CE307B">
        <w:rPr>
          <w:rFonts w:ascii="Times New Roman" w:hAnsi="Times New Roman" w:cs="Times New Roman"/>
          <w:b/>
        </w:rPr>
        <w:t>Uỷ thác đầu tư theo chỉ định</w:t>
      </w:r>
    </w:p>
    <w:p w:rsidR="00190E20" w:rsidRDefault="00190E20" w:rsidP="0081479B">
      <w:pPr>
        <w:tabs>
          <w:tab w:val="left" w:pos="1110"/>
        </w:tabs>
        <w:ind w:left="720"/>
        <w:jc w:val="both"/>
        <w:rPr>
          <w:rFonts w:ascii="Times New Roman" w:hAnsi="Times New Roman" w:cs="Times New Roman"/>
        </w:rPr>
      </w:pPr>
      <w:r>
        <w:rPr>
          <w:rFonts w:ascii="Times New Roman" w:hAnsi="Times New Roman" w:cs="Times New Roman"/>
        </w:rPr>
        <w:t>Uỷ thác đầu tư theo chỉ định là hình thức đầu tư mà Khách hàng giao vốn của mình cho IFMC để đầu tư vào các loại chứng khoán cụ thể hoặc danh mục đầu tư cụ thể theo chỉ định của Khách hàng. Hình thức này yêu cầu loại chứng khoán hoặc danh mục đầu tư phải được xác định rõ ràng trước khi thực hiện giao dịch ủy thác</w:t>
      </w:r>
    </w:p>
    <w:p w:rsidR="005968BE" w:rsidRDefault="005968BE" w:rsidP="00190E20">
      <w:pPr>
        <w:tabs>
          <w:tab w:val="left" w:pos="1110"/>
        </w:tabs>
        <w:ind w:left="720"/>
        <w:rPr>
          <w:rFonts w:ascii="Times New Roman" w:hAnsi="Times New Roman" w:cs="Times New Roman"/>
        </w:rPr>
      </w:pPr>
    </w:p>
    <w:p w:rsidR="00190E20" w:rsidRPr="00CE307B" w:rsidRDefault="00190E20" w:rsidP="0081479B">
      <w:pPr>
        <w:pStyle w:val="ListParagraph"/>
        <w:numPr>
          <w:ilvl w:val="0"/>
          <w:numId w:val="5"/>
        </w:numPr>
        <w:tabs>
          <w:tab w:val="left" w:pos="1110"/>
        </w:tabs>
        <w:jc w:val="both"/>
        <w:rPr>
          <w:rFonts w:ascii="Times New Roman" w:hAnsi="Times New Roman" w:cs="Times New Roman"/>
          <w:b/>
        </w:rPr>
      </w:pPr>
      <w:r w:rsidRPr="00CE307B">
        <w:rPr>
          <w:rFonts w:ascii="Times New Roman" w:hAnsi="Times New Roman" w:cs="Times New Roman"/>
          <w:b/>
        </w:rPr>
        <w:t>Quản lý quỹ đầu tư</w:t>
      </w:r>
    </w:p>
    <w:p w:rsidR="00190E20" w:rsidRDefault="00190E20" w:rsidP="0081479B">
      <w:pPr>
        <w:tabs>
          <w:tab w:val="left" w:pos="1110"/>
        </w:tabs>
        <w:ind w:left="720"/>
        <w:jc w:val="both"/>
        <w:rPr>
          <w:rFonts w:ascii="Times New Roman" w:hAnsi="Times New Roman" w:cs="Times New Roman"/>
        </w:rPr>
      </w:pPr>
      <w:r>
        <w:rPr>
          <w:rFonts w:ascii="Times New Roman" w:hAnsi="Times New Roman" w:cs="Times New Roman"/>
        </w:rPr>
        <w:t xml:space="preserve">Qũy đầu tư là kênh đầu tư đặc biệt phù hợp với các Nhà đầu tư có ít vốn và thời gian cũng như không muốn chấp nhận rủi ro cao. Tại IFMC, đội ngũ chuyên gia của chúng tôi sẽ giúp Nhà đầu tư quản lý thật tốt quỹ đầu tư của mình với phương châm tối đa hóa lợi nhuận. </w:t>
      </w:r>
    </w:p>
    <w:p w:rsidR="00190E20" w:rsidRPr="00CE307B" w:rsidRDefault="00190E20" w:rsidP="0081479B">
      <w:pPr>
        <w:pStyle w:val="ListParagraph"/>
        <w:numPr>
          <w:ilvl w:val="0"/>
          <w:numId w:val="5"/>
        </w:numPr>
        <w:tabs>
          <w:tab w:val="left" w:pos="1110"/>
        </w:tabs>
        <w:jc w:val="both"/>
        <w:rPr>
          <w:rFonts w:ascii="Times New Roman" w:hAnsi="Times New Roman" w:cs="Times New Roman"/>
          <w:b/>
        </w:rPr>
      </w:pPr>
      <w:r w:rsidRPr="00CE307B">
        <w:rPr>
          <w:rFonts w:ascii="Times New Roman" w:hAnsi="Times New Roman" w:cs="Times New Roman"/>
          <w:b/>
        </w:rPr>
        <w:t>Tư vấn tài chính</w:t>
      </w:r>
    </w:p>
    <w:p w:rsidR="00FD026B" w:rsidRDefault="00190E20" w:rsidP="0081479B">
      <w:pPr>
        <w:tabs>
          <w:tab w:val="left" w:pos="1110"/>
        </w:tabs>
        <w:ind w:left="720"/>
        <w:jc w:val="both"/>
        <w:rPr>
          <w:rFonts w:ascii="Times New Roman" w:hAnsi="Times New Roman" w:cs="Times New Roman"/>
        </w:rPr>
      </w:pPr>
      <w:r>
        <w:rPr>
          <w:rFonts w:ascii="Times New Roman" w:hAnsi="Times New Roman" w:cs="Times New Roman"/>
        </w:rPr>
        <w:t>Công ty Cổ phần quản lý quỹ Quốc tế liên kết với Công ty Cổ phần Chứng khoán Hòa Bình đ</w:t>
      </w:r>
      <w:r w:rsidR="0081479B">
        <w:rPr>
          <w:rFonts w:ascii="Times New Roman" w:hAnsi="Times New Roman" w:cs="Times New Roman"/>
        </w:rPr>
        <w:t>ể</w:t>
      </w:r>
      <w:r>
        <w:rPr>
          <w:rFonts w:ascii="Times New Roman" w:hAnsi="Times New Roman" w:cs="Times New Roman"/>
        </w:rPr>
        <w:t xml:space="preserve"> đem đến cho Qúy khách hàng dịch vụ tư vấn tài chính  hiệu quả và chuyên nghiệp nhất. </w:t>
      </w:r>
    </w:p>
    <w:p w:rsidR="0081479B" w:rsidRDefault="0081479B" w:rsidP="0081479B">
      <w:pPr>
        <w:tabs>
          <w:tab w:val="left" w:pos="1110"/>
        </w:tabs>
        <w:ind w:left="720"/>
        <w:jc w:val="both"/>
        <w:rPr>
          <w:rFonts w:ascii="Times New Roman" w:hAnsi="Times New Roman" w:cs="Times New Roman"/>
        </w:rPr>
      </w:pPr>
    </w:p>
    <w:p w:rsidR="0081479B" w:rsidRDefault="0081479B" w:rsidP="0081479B">
      <w:pPr>
        <w:tabs>
          <w:tab w:val="left" w:pos="1110"/>
        </w:tabs>
        <w:ind w:left="720"/>
        <w:jc w:val="both"/>
        <w:rPr>
          <w:rFonts w:ascii="Times New Roman" w:hAnsi="Times New Roman" w:cs="Times New Roman"/>
        </w:rPr>
      </w:pPr>
    </w:p>
    <w:p w:rsidR="00FD026B" w:rsidRPr="00807CBB" w:rsidRDefault="00FD026B" w:rsidP="00FD026B">
      <w:pPr>
        <w:tabs>
          <w:tab w:val="left" w:pos="1110"/>
        </w:tabs>
        <w:ind w:left="720"/>
        <w:rPr>
          <w:rFonts w:ascii="Times New Roman" w:hAnsi="Times New Roman" w:cs="Times New Roman"/>
          <w:b/>
          <w:sz w:val="24"/>
          <w:szCs w:val="24"/>
          <w:u w:val="single"/>
        </w:rPr>
      </w:pPr>
      <w:r w:rsidRPr="00807CBB">
        <w:rPr>
          <w:rFonts w:ascii="Times New Roman" w:hAnsi="Times New Roman" w:cs="Times New Roman"/>
          <w:b/>
          <w:sz w:val="24"/>
          <w:szCs w:val="24"/>
          <w:u w:val="single"/>
        </w:rPr>
        <w:lastRenderedPageBreak/>
        <w:t>Chính sách phí</w:t>
      </w:r>
    </w:p>
    <w:tbl>
      <w:tblPr>
        <w:tblW w:w="8956" w:type="dxa"/>
        <w:jc w:val="center"/>
        <w:tblCellMar>
          <w:left w:w="0" w:type="dxa"/>
          <w:right w:w="0" w:type="dxa"/>
        </w:tblCellMar>
        <w:tblLook w:val="04A0"/>
      </w:tblPr>
      <w:tblGrid>
        <w:gridCol w:w="4478"/>
        <w:gridCol w:w="4478"/>
      </w:tblGrid>
      <w:tr w:rsidR="00FD026B" w:rsidRPr="00FD026B" w:rsidTr="00807CBB">
        <w:trPr>
          <w:trHeight w:val="790"/>
          <w:jc w:val="center"/>
        </w:trPr>
        <w:tc>
          <w:tcPr>
            <w:tcW w:w="8955" w:type="dxa"/>
            <w:gridSpan w:val="2"/>
            <w:tcBorders>
              <w:top w:val="single" w:sz="8" w:space="0" w:color="FFFFFF"/>
              <w:left w:val="single" w:sz="8" w:space="0" w:color="FFFFFF"/>
              <w:bottom w:val="single" w:sz="24" w:space="0" w:color="FFFFFF"/>
              <w:right w:val="single" w:sz="8" w:space="0" w:color="FFFFFF"/>
            </w:tcBorders>
            <w:shd w:val="clear" w:color="auto" w:fill="88BEF4"/>
            <w:tcMar>
              <w:top w:w="72" w:type="dxa"/>
              <w:left w:w="144" w:type="dxa"/>
              <w:bottom w:w="72" w:type="dxa"/>
              <w:right w:w="144" w:type="dxa"/>
            </w:tcMar>
            <w:hideMark/>
          </w:tcPr>
          <w:p w:rsidR="00F105C4" w:rsidRPr="00FD026B" w:rsidRDefault="00FD026B" w:rsidP="00FD026B">
            <w:pPr>
              <w:tabs>
                <w:tab w:val="left" w:pos="1110"/>
              </w:tabs>
              <w:ind w:left="720"/>
              <w:jc w:val="center"/>
              <w:rPr>
                <w:rFonts w:ascii="Times New Roman" w:hAnsi="Times New Roman" w:cs="Times New Roman"/>
              </w:rPr>
            </w:pPr>
            <w:r w:rsidRPr="00FD026B">
              <w:rPr>
                <w:rFonts w:ascii="Times New Roman" w:hAnsi="Times New Roman" w:cs="Times New Roman"/>
                <w:b/>
                <w:bCs/>
              </w:rPr>
              <w:t>Phí dịch vụ</w:t>
            </w:r>
          </w:p>
        </w:tc>
      </w:tr>
      <w:tr w:rsidR="00FD026B" w:rsidRPr="00FD026B" w:rsidTr="00807CBB">
        <w:trPr>
          <w:trHeight w:val="790"/>
          <w:jc w:val="center"/>
        </w:trPr>
        <w:tc>
          <w:tcPr>
            <w:tcW w:w="4478" w:type="dxa"/>
            <w:tcBorders>
              <w:top w:val="single" w:sz="24" w:space="0" w:color="FFFFFF"/>
              <w:left w:val="single" w:sz="8" w:space="0" w:color="FFFFFF"/>
              <w:bottom w:val="single" w:sz="8" w:space="0" w:color="FFFFFF"/>
              <w:right w:val="single" w:sz="8" w:space="0" w:color="FFFFFF"/>
            </w:tcBorders>
            <w:shd w:val="clear" w:color="auto" w:fill="DAE8FB"/>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Loại phí </w:t>
            </w:r>
          </w:p>
        </w:tc>
        <w:tc>
          <w:tcPr>
            <w:tcW w:w="4478" w:type="dxa"/>
            <w:tcBorders>
              <w:top w:val="single" w:sz="24" w:space="0" w:color="FFFFFF"/>
              <w:left w:val="single" w:sz="8" w:space="0" w:color="FFFFFF"/>
              <w:bottom w:val="single" w:sz="8" w:space="0" w:color="FFFFFF"/>
              <w:right w:val="single" w:sz="8" w:space="0" w:color="FFFFFF"/>
            </w:tcBorders>
            <w:shd w:val="clear" w:color="auto" w:fill="DAE8FB"/>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Mức phí </w:t>
            </w:r>
          </w:p>
        </w:tc>
      </w:tr>
      <w:tr w:rsidR="00FD026B" w:rsidRPr="00FD026B" w:rsidTr="00807CBB">
        <w:trPr>
          <w:trHeight w:val="790"/>
          <w:jc w:val="center"/>
        </w:trPr>
        <w:tc>
          <w:tcPr>
            <w:tcW w:w="4478" w:type="dxa"/>
            <w:tcBorders>
              <w:top w:val="single" w:sz="8" w:space="0" w:color="FFFFFF"/>
              <w:left w:val="single" w:sz="8" w:space="0" w:color="FFFFFF"/>
              <w:bottom w:val="single" w:sz="8" w:space="0" w:color="FFFFFF"/>
              <w:right w:val="single" w:sz="8" w:space="0" w:color="FFFFFF"/>
            </w:tcBorders>
            <w:shd w:val="clear" w:color="auto" w:fill="EDF4FD"/>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Phí kết thúc hợp đồng trước hạn </w:t>
            </w:r>
          </w:p>
        </w:tc>
        <w:tc>
          <w:tcPr>
            <w:tcW w:w="4478" w:type="dxa"/>
            <w:tcBorders>
              <w:top w:val="single" w:sz="8" w:space="0" w:color="FFFFFF"/>
              <w:left w:val="single" w:sz="8" w:space="0" w:color="FFFFFF"/>
              <w:bottom w:val="single" w:sz="8" w:space="0" w:color="FFFFFF"/>
              <w:right w:val="single" w:sz="8" w:space="0" w:color="FFFFFF"/>
            </w:tcBorders>
            <w:shd w:val="clear" w:color="auto" w:fill="EDF4FD"/>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rPr>
              <w:t xml:space="preserve">1%*NAV cuối kỳ </w:t>
            </w:r>
          </w:p>
        </w:tc>
      </w:tr>
      <w:tr w:rsidR="00FD026B" w:rsidRPr="00FD026B" w:rsidTr="00807CBB">
        <w:trPr>
          <w:trHeight w:val="790"/>
          <w:jc w:val="center"/>
        </w:trPr>
        <w:tc>
          <w:tcPr>
            <w:tcW w:w="4478" w:type="dxa"/>
            <w:tcBorders>
              <w:top w:val="single" w:sz="8" w:space="0" w:color="FFFFFF"/>
              <w:left w:val="single" w:sz="8" w:space="0" w:color="FFFFFF"/>
              <w:bottom w:val="single" w:sz="8" w:space="0" w:color="FFFFFF"/>
              <w:right w:val="single" w:sz="8" w:space="0" w:color="FFFFFF"/>
            </w:tcBorders>
            <w:shd w:val="clear" w:color="auto" w:fill="DAE8FB"/>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Phí quản lý tài sản (tháng) </w:t>
            </w:r>
          </w:p>
        </w:tc>
        <w:tc>
          <w:tcPr>
            <w:tcW w:w="4478" w:type="dxa"/>
            <w:tcBorders>
              <w:top w:val="single" w:sz="8" w:space="0" w:color="FFFFFF"/>
              <w:left w:val="single" w:sz="8" w:space="0" w:color="FFFFFF"/>
              <w:bottom w:val="single" w:sz="8" w:space="0" w:color="FFFFFF"/>
              <w:right w:val="single" w:sz="8" w:space="0" w:color="FFFFFF"/>
            </w:tcBorders>
            <w:shd w:val="clear" w:color="auto" w:fill="DAE8FB"/>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rPr>
              <w:t xml:space="preserve">0.15%*NAVcuối kỳ </w:t>
            </w:r>
          </w:p>
        </w:tc>
      </w:tr>
      <w:tr w:rsidR="00FD026B" w:rsidRPr="00FD026B" w:rsidTr="00807CBB">
        <w:trPr>
          <w:trHeight w:val="790"/>
          <w:jc w:val="center"/>
        </w:trPr>
        <w:tc>
          <w:tcPr>
            <w:tcW w:w="8955" w:type="dxa"/>
            <w:gridSpan w:val="2"/>
            <w:tcBorders>
              <w:top w:val="single" w:sz="8" w:space="0" w:color="FFFFFF"/>
              <w:left w:val="single" w:sz="8" w:space="0" w:color="FFFFFF"/>
              <w:bottom w:val="single" w:sz="8" w:space="0" w:color="FFFFFF"/>
              <w:right w:val="single" w:sz="8" w:space="0" w:color="FFFFFF"/>
            </w:tcBorders>
            <w:shd w:val="clear" w:color="auto" w:fill="EDF4FD"/>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i/>
                <w:iCs/>
              </w:rPr>
              <w:t xml:space="preserve">Các phí trên chỉ được áp dụng khi NAV cuối kỳ &gt; NAV tại thời điểm ký hợp đồng </w:t>
            </w:r>
          </w:p>
        </w:tc>
      </w:tr>
    </w:tbl>
    <w:p w:rsidR="00FD026B" w:rsidRDefault="00FD026B" w:rsidP="00FD026B">
      <w:pPr>
        <w:tabs>
          <w:tab w:val="left" w:pos="1110"/>
        </w:tabs>
        <w:ind w:left="720"/>
        <w:rPr>
          <w:rFonts w:ascii="Times New Roman" w:hAnsi="Times New Roman" w:cs="Times New Roman"/>
        </w:rPr>
      </w:pPr>
    </w:p>
    <w:tbl>
      <w:tblPr>
        <w:tblW w:w="8925" w:type="dxa"/>
        <w:jc w:val="center"/>
        <w:tblCellMar>
          <w:left w:w="0" w:type="dxa"/>
          <w:right w:w="0" w:type="dxa"/>
        </w:tblCellMar>
        <w:tblLook w:val="04A0"/>
      </w:tblPr>
      <w:tblGrid>
        <w:gridCol w:w="2975"/>
        <w:gridCol w:w="2975"/>
        <w:gridCol w:w="2975"/>
      </w:tblGrid>
      <w:tr w:rsidR="00FD026B" w:rsidRPr="00FD026B" w:rsidTr="00FD026B">
        <w:trPr>
          <w:trHeight w:val="856"/>
          <w:jc w:val="center"/>
        </w:trPr>
        <w:tc>
          <w:tcPr>
            <w:tcW w:w="8925" w:type="dxa"/>
            <w:gridSpan w:val="3"/>
            <w:tcBorders>
              <w:top w:val="single" w:sz="8" w:space="0" w:color="FFFFFF"/>
              <w:left w:val="single" w:sz="8" w:space="0" w:color="FFFFFF"/>
              <w:bottom w:val="single" w:sz="24" w:space="0" w:color="FFFFFF"/>
              <w:right w:val="single" w:sz="8" w:space="0" w:color="FFFFFF"/>
            </w:tcBorders>
            <w:shd w:val="clear" w:color="auto" w:fill="88BEF4"/>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Phí thưởng </w:t>
            </w:r>
          </w:p>
        </w:tc>
      </w:tr>
      <w:tr w:rsidR="00FD026B" w:rsidRPr="00FD026B" w:rsidTr="00FD026B">
        <w:trPr>
          <w:trHeight w:val="856"/>
          <w:jc w:val="center"/>
        </w:trPr>
        <w:tc>
          <w:tcPr>
            <w:tcW w:w="2975" w:type="dxa"/>
            <w:tcBorders>
              <w:top w:val="single" w:sz="24" w:space="0" w:color="FFFFFF"/>
              <w:left w:val="single" w:sz="8" w:space="0" w:color="FFFFFF"/>
              <w:bottom w:val="single" w:sz="8" w:space="0" w:color="FFFFFF"/>
              <w:right w:val="single" w:sz="8" w:space="0" w:color="FFFFFF"/>
            </w:tcBorders>
            <w:shd w:val="clear" w:color="auto" w:fill="DAE8FB"/>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ROI </w:t>
            </w:r>
          </w:p>
        </w:tc>
        <w:tc>
          <w:tcPr>
            <w:tcW w:w="2975" w:type="dxa"/>
            <w:tcBorders>
              <w:top w:val="single" w:sz="24" w:space="0" w:color="FFFFFF"/>
              <w:left w:val="single" w:sz="8" w:space="0" w:color="FFFFFF"/>
              <w:bottom w:val="single" w:sz="8" w:space="0" w:color="FFFFFF"/>
              <w:right w:val="single" w:sz="8" w:space="0" w:color="FFFFFF"/>
            </w:tcBorders>
            <w:shd w:val="clear" w:color="auto" w:fill="DAE8FB"/>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Phí quản lý </w:t>
            </w:r>
          </w:p>
        </w:tc>
        <w:tc>
          <w:tcPr>
            <w:tcW w:w="2975" w:type="dxa"/>
            <w:tcBorders>
              <w:top w:val="single" w:sz="24" w:space="0" w:color="FFFFFF"/>
              <w:left w:val="single" w:sz="8" w:space="0" w:color="FFFFFF"/>
              <w:bottom w:val="single" w:sz="8" w:space="0" w:color="FFFFFF"/>
              <w:right w:val="single" w:sz="8" w:space="0" w:color="FFFFFF"/>
            </w:tcBorders>
            <w:shd w:val="clear" w:color="auto" w:fill="DAE8FB"/>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Phí thưởng </w:t>
            </w:r>
          </w:p>
        </w:tc>
      </w:tr>
      <w:tr w:rsidR="00FD026B" w:rsidRPr="00FD026B" w:rsidTr="00FD026B">
        <w:trPr>
          <w:trHeight w:val="856"/>
          <w:jc w:val="center"/>
        </w:trPr>
        <w:tc>
          <w:tcPr>
            <w:tcW w:w="2975" w:type="dxa"/>
            <w:tcBorders>
              <w:top w:val="single" w:sz="8" w:space="0" w:color="FFFFFF"/>
              <w:left w:val="single" w:sz="8" w:space="0" w:color="FFFFFF"/>
              <w:bottom w:val="single" w:sz="8" w:space="0" w:color="FFFFFF"/>
              <w:right w:val="single" w:sz="8" w:space="0" w:color="FFFFFF"/>
            </w:tcBorders>
            <w:shd w:val="clear" w:color="auto" w:fill="EDF4FD"/>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ROI &lt; 0 </w:t>
            </w:r>
          </w:p>
        </w:tc>
        <w:tc>
          <w:tcPr>
            <w:tcW w:w="2975" w:type="dxa"/>
            <w:tcBorders>
              <w:top w:val="single" w:sz="8" w:space="0" w:color="FFFFFF"/>
              <w:left w:val="single" w:sz="8" w:space="0" w:color="FFFFFF"/>
              <w:bottom w:val="single" w:sz="8" w:space="0" w:color="FFFFFF"/>
              <w:right w:val="single" w:sz="8" w:space="0" w:color="FFFFFF"/>
            </w:tcBorders>
            <w:shd w:val="clear" w:color="auto" w:fill="EDF4FD"/>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0% </w:t>
            </w:r>
          </w:p>
        </w:tc>
        <w:tc>
          <w:tcPr>
            <w:tcW w:w="2975" w:type="dxa"/>
            <w:tcBorders>
              <w:top w:val="single" w:sz="8" w:space="0" w:color="FFFFFF"/>
              <w:left w:val="single" w:sz="8" w:space="0" w:color="FFFFFF"/>
              <w:bottom w:val="single" w:sz="8" w:space="0" w:color="FFFFFF"/>
              <w:right w:val="single" w:sz="8" w:space="0" w:color="FFFFFF"/>
            </w:tcBorders>
            <w:shd w:val="clear" w:color="auto" w:fill="EDF4FD"/>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0% </w:t>
            </w:r>
          </w:p>
        </w:tc>
      </w:tr>
      <w:tr w:rsidR="00FD026B" w:rsidRPr="00FD026B" w:rsidTr="00FD026B">
        <w:trPr>
          <w:trHeight w:val="856"/>
          <w:jc w:val="center"/>
        </w:trPr>
        <w:tc>
          <w:tcPr>
            <w:tcW w:w="2975" w:type="dxa"/>
            <w:tcBorders>
              <w:top w:val="single" w:sz="8" w:space="0" w:color="FFFFFF"/>
              <w:left w:val="single" w:sz="8" w:space="0" w:color="FFFFFF"/>
              <w:bottom w:val="single" w:sz="8" w:space="0" w:color="FFFFFF"/>
              <w:right w:val="single" w:sz="8" w:space="0" w:color="FFFFFF"/>
            </w:tcBorders>
            <w:shd w:val="clear" w:color="auto" w:fill="DAE8FB"/>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0&lt;= ROI &lt;= Rh </w:t>
            </w:r>
          </w:p>
        </w:tc>
        <w:tc>
          <w:tcPr>
            <w:tcW w:w="2975" w:type="dxa"/>
            <w:tcBorders>
              <w:top w:val="single" w:sz="8" w:space="0" w:color="FFFFFF"/>
              <w:left w:val="single" w:sz="8" w:space="0" w:color="FFFFFF"/>
              <w:bottom w:val="single" w:sz="8" w:space="0" w:color="FFFFFF"/>
              <w:right w:val="single" w:sz="8" w:space="0" w:color="FFFFFF"/>
            </w:tcBorders>
            <w:shd w:val="clear" w:color="auto" w:fill="DAE8FB"/>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0.15%/tháng </w:t>
            </w:r>
          </w:p>
        </w:tc>
        <w:tc>
          <w:tcPr>
            <w:tcW w:w="2975" w:type="dxa"/>
            <w:tcBorders>
              <w:top w:val="single" w:sz="8" w:space="0" w:color="FFFFFF"/>
              <w:left w:val="single" w:sz="8" w:space="0" w:color="FFFFFF"/>
              <w:bottom w:val="single" w:sz="8" w:space="0" w:color="FFFFFF"/>
              <w:right w:val="single" w:sz="8" w:space="0" w:color="FFFFFF"/>
            </w:tcBorders>
            <w:shd w:val="clear" w:color="auto" w:fill="DAE8FB"/>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0% </w:t>
            </w:r>
          </w:p>
        </w:tc>
      </w:tr>
      <w:tr w:rsidR="00FD026B" w:rsidRPr="00FD026B" w:rsidTr="00FD026B">
        <w:trPr>
          <w:trHeight w:val="856"/>
          <w:jc w:val="center"/>
        </w:trPr>
        <w:tc>
          <w:tcPr>
            <w:tcW w:w="2975" w:type="dxa"/>
            <w:tcBorders>
              <w:top w:val="single" w:sz="8" w:space="0" w:color="FFFFFF"/>
              <w:left w:val="single" w:sz="8" w:space="0" w:color="FFFFFF"/>
              <w:bottom w:val="single" w:sz="8" w:space="0" w:color="FFFFFF"/>
              <w:right w:val="single" w:sz="8" w:space="0" w:color="FFFFFF"/>
            </w:tcBorders>
            <w:shd w:val="clear" w:color="auto" w:fill="EDF4FD"/>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ROI &gt;Rh </w:t>
            </w:r>
          </w:p>
        </w:tc>
        <w:tc>
          <w:tcPr>
            <w:tcW w:w="2975" w:type="dxa"/>
            <w:tcBorders>
              <w:top w:val="single" w:sz="8" w:space="0" w:color="FFFFFF"/>
              <w:left w:val="single" w:sz="8" w:space="0" w:color="FFFFFF"/>
              <w:bottom w:val="single" w:sz="8" w:space="0" w:color="FFFFFF"/>
              <w:right w:val="single" w:sz="8" w:space="0" w:color="FFFFFF"/>
            </w:tcBorders>
            <w:shd w:val="clear" w:color="auto" w:fill="EDF4FD"/>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0.15%/tháng </w:t>
            </w:r>
          </w:p>
        </w:tc>
        <w:tc>
          <w:tcPr>
            <w:tcW w:w="2975" w:type="dxa"/>
            <w:tcBorders>
              <w:top w:val="single" w:sz="8" w:space="0" w:color="FFFFFF"/>
              <w:left w:val="single" w:sz="8" w:space="0" w:color="FFFFFF"/>
              <w:bottom w:val="single" w:sz="8" w:space="0" w:color="FFFFFF"/>
              <w:right w:val="single" w:sz="8" w:space="0" w:color="FFFFFF"/>
            </w:tcBorders>
            <w:shd w:val="clear" w:color="auto" w:fill="EDF4FD"/>
            <w:tcMar>
              <w:top w:w="72" w:type="dxa"/>
              <w:left w:w="144" w:type="dxa"/>
              <w:bottom w:w="72" w:type="dxa"/>
              <w:right w:w="144" w:type="dxa"/>
            </w:tcMar>
            <w:hideMark/>
          </w:tcPr>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30%*(NAVcuối kỳ - (1+Rh)*NAVđầu kỳ) </w:t>
            </w:r>
          </w:p>
        </w:tc>
      </w:tr>
      <w:tr w:rsidR="00FD026B" w:rsidRPr="00FD026B" w:rsidTr="00FD026B">
        <w:trPr>
          <w:trHeight w:val="945"/>
          <w:jc w:val="center"/>
        </w:trPr>
        <w:tc>
          <w:tcPr>
            <w:tcW w:w="8925" w:type="dxa"/>
            <w:gridSpan w:val="3"/>
            <w:tcBorders>
              <w:top w:val="single" w:sz="8" w:space="0" w:color="FFFFFF"/>
              <w:left w:val="single" w:sz="8" w:space="0" w:color="FFFFFF"/>
              <w:bottom w:val="single" w:sz="8" w:space="0" w:color="FFFFFF"/>
              <w:right w:val="single" w:sz="8" w:space="0" w:color="FFFFFF"/>
            </w:tcBorders>
            <w:shd w:val="clear" w:color="auto" w:fill="DAE8FB"/>
            <w:tcMar>
              <w:top w:w="72" w:type="dxa"/>
              <w:left w:w="144" w:type="dxa"/>
              <w:bottom w:w="72" w:type="dxa"/>
              <w:right w:w="144" w:type="dxa"/>
            </w:tcMar>
            <w:hideMark/>
          </w:tcPr>
          <w:p w:rsidR="00FD026B"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ROI: Tỉ lệ tăng trưởng giá trị danh mục = (NAVcuối kỳ/NAVđầu kỳ) – 1</w:t>
            </w:r>
          </w:p>
          <w:p w:rsidR="00F105C4" w:rsidRPr="00FD026B" w:rsidRDefault="00FD026B" w:rsidP="00FD026B">
            <w:pPr>
              <w:tabs>
                <w:tab w:val="left" w:pos="1110"/>
              </w:tabs>
              <w:ind w:left="720"/>
              <w:rPr>
                <w:rFonts w:ascii="Times New Roman" w:hAnsi="Times New Roman" w:cs="Times New Roman"/>
              </w:rPr>
            </w:pPr>
            <w:r w:rsidRPr="00FD026B">
              <w:rPr>
                <w:rFonts w:ascii="Times New Roman" w:hAnsi="Times New Roman" w:cs="Times New Roman"/>
                <w:b/>
                <w:bCs/>
              </w:rPr>
              <w:t xml:space="preserve">Rh (tháng) = Tỷ suất lợi nhuận chuẩn = (Tiết kiệm Vietcombank 12 tháng +4%)/12 </w:t>
            </w:r>
          </w:p>
        </w:tc>
      </w:tr>
    </w:tbl>
    <w:p w:rsidR="00FD026B" w:rsidRPr="00190E20" w:rsidRDefault="00FD026B" w:rsidP="00FD026B">
      <w:pPr>
        <w:tabs>
          <w:tab w:val="left" w:pos="1110"/>
        </w:tabs>
        <w:ind w:left="720"/>
        <w:rPr>
          <w:rFonts w:ascii="Times New Roman" w:hAnsi="Times New Roman" w:cs="Times New Roman"/>
        </w:rPr>
      </w:pPr>
    </w:p>
    <w:sectPr w:rsidR="00FD026B" w:rsidRPr="00190E20" w:rsidSect="001331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A8B" w:rsidRDefault="00143A8B" w:rsidP="00196715">
      <w:pPr>
        <w:spacing w:after="0" w:line="240" w:lineRule="auto"/>
      </w:pPr>
      <w:r>
        <w:separator/>
      </w:r>
    </w:p>
  </w:endnote>
  <w:endnote w:type="continuationSeparator" w:id="1">
    <w:p w:rsidR="00143A8B" w:rsidRDefault="00143A8B" w:rsidP="00196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A8B" w:rsidRDefault="00143A8B" w:rsidP="00196715">
      <w:pPr>
        <w:spacing w:after="0" w:line="240" w:lineRule="auto"/>
      </w:pPr>
      <w:r>
        <w:separator/>
      </w:r>
    </w:p>
  </w:footnote>
  <w:footnote w:type="continuationSeparator" w:id="1">
    <w:p w:rsidR="00143A8B" w:rsidRDefault="00143A8B" w:rsidP="001967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9124C"/>
    <w:multiLevelType w:val="hybridMultilevel"/>
    <w:tmpl w:val="BA2CD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4D068C"/>
    <w:multiLevelType w:val="multilevel"/>
    <w:tmpl w:val="9F1C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3545E7"/>
    <w:multiLevelType w:val="hybridMultilevel"/>
    <w:tmpl w:val="BE14AE6A"/>
    <w:lvl w:ilvl="0" w:tplc="BBB0B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1D51C6"/>
    <w:multiLevelType w:val="hybridMultilevel"/>
    <w:tmpl w:val="748ED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BD47D00"/>
    <w:multiLevelType w:val="hybridMultilevel"/>
    <w:tmpl w:val="DC74C67C"/>
    <w:lvl w:ilvl="0" w:tplc="230E54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A295C3E"/>
    <w:multiLevelType w:val="hybridMultilevel"/>
    <w:tmpl w:val="66904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A25BBE"/>
    <w:multiLevelType w:val="hybridMultilevel"/>
    <w:tmpl w:val="0178C346"/>
    <w:lvl w:ilvl="0" w:tplc="33E2B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7D7310"/>
    <w:multiLevelType w:val="multilevel"/>
    <w:tmpl w:val="11C052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A246C5"/>
    <w:multiLevelType w:val="multilevel"/>
    <w:tmpl w:val="4ECEA5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0"/>
  </w:num>
  <w:num w:numId="5">
    <w:abstractNumId w:val="6"/>
  </w:num>
  <w:num w:numId="6">
    <w:abstractNumId w:val="1"/>
  </w:num>
  <w:num w:numId="7">
    <w:abstractNumId w:val="7"/>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3136"/>
    <w:rsid w:val="000250BE"/>
    <w:rsid w:val="000511EE"/>
    <w:rsid w:val="000920D5"/>
    <w:rsid w:val="00133110"/>
    <w:rsid w:val="00143A8B"/>
    <w:rsid w:val="00190E20"/>
    <w:rsid w:val="00196715"/>
    <w:rsid w:val="001B17E0"/>
    <w:rsid w:val="00235DB6"/>
    <w:rsid w:val="00274178"/>
    <w:rsid w:val="002951F7"/>
    <w:rsid w:val="00295ABE"/>
    <w:rsid w:val="002B1A1D"/>
    <w:rsid w:val="002D6FF3"/>
    <w:rsid w:val="00315DDD"/>
    <w:rsid w:val="00330A88"/>
    <w:rsid w:val="00340C1C"/>
    <w:rsid w:val="00385510"/>
    <w:rsid w:val="003A4AA9"/>
    <w:rsid w:val="003C6E68"/>
    <w:rsid w:val="003F0EAD"/>
    <w:rsid w:val="00403422"/>
    <w:rsid w:val="004117FF"/>
    <w:rsid w:val="0043383E"/>
    <w:rsid w:val="004515AE"/>
    <w:rsid w:val="00454D61"/>
    <w:rsid w:val="004602F8"/>
    <w:rsid w:val="004720E7"/>
    <w:rsid w:val="004A32AD"/>
    <w:rsid w:val="004F2DCB"/>
    <w:rsid w:val="00507CE2"/>
    <w:rsid w:val="00573F60"/>
    <w:rsid w:val="00576A4D"/>
    <w:rsid w:val="005877D3"/>
    <w:rsid w:val="005968BE"/>
    <w:rsid w:val="005B4317"/>
    <w:rsid w:val="005B63BC"/>
    <w:rsid w:val="005D5CDE"/>
    <w:rsid w:val="005E3136"/>
    <w:rsid w:val="00633656"/>
    <w:rsid w:val="006B1586"/>
    <w:rsid w:val="006B6AEB"/>
    <w:rsid w:val="006C6A77"/>
    <w:rsid w:val="006E157A"/>
    <w:rsid w:val="00723799"/>
    <w:rsid w:val="007261D6"/>
    <w:rsid w:val="0074426C"/>
    <w:rsid w:val="00765C0C"/>
    <w:rsid w:val="00807CBB"/>
    <w:rsid w:val="0081479B"/>
    <w:rsid w:val="008272D9"/>
    <w:rsid w:val="00853322"/>
    <w:rsid w:val="008A183C"/>
    <w:rsid w:val="008B27DD"/>
    <w:rsid w:val="008D6D2F"/>
    <w:rsid w:val="008E4C3E"/>
    <w:rsid w:val="008F4223"/>
    <w:rsid w:val="0090133D"/>
    <w:rsid w:val="00930AD2"/>
    <w:rsid w:val="00932ED0"/>
    <w:rsid w:val="009438AF"/>
    <w:rsid w:val="009A068E"/>
    <w:rsid w:val="00A031D4"/>
    <w:rsid w:val="00A57C85"/>
    <w:rsid w:val="00AB0FF0"/>
    <w:rsid w:val="00B2331C"/>
    <w:rsid w:val="00B60DCB"/>
    <w:rsid w:val="00B7197B"/>
    <w:rsid w:val="00B80C5B"/>
    <w:rsid w:val="00B84FAF"/>
    <w:rsid w:val="00BC434B"/>
    <w:rsid w:val="00BC6B41"/>
    <w:rsid w:val="00C0402F"/>
    <w:rsid w:val="00C74010"/>
    <w:rsid w:val="00CE307B"/>
    <w:rsid w:val="00D57564"/>
    <w:rsid w:val="00DD5330"/>
    <w:rsid w:val="00DD6C81"/>
    <w:rsid w:val="00E57AF1"/>
    <w:rsid w:val="00E70018"/>
    <w:rsid w:val="00E9066B"/>
    <w:rsid w:val="00F105C4"/>
    <w:rsid w:val="00F14126"/>
    <w:rsid w:val="00F43D6C"/>
    <w:rsid w:val="00F55605"/>
    <w:rsid w:val="00F738D0"/>
    <w:rsid w:val="00FA58D0"/>
    <w:rsid w:val="00FD026B"/>
    <w:rsid w:val="00FF59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9" type="connector" idref="#_x0000_s1027"/>
        <o:r id="V:Rule10" type="connector" idref="#_x0000_s1033"/>
        <o:r id="V:Rule11" type="connector" idref="#_x0000_s1028"/>
        <o:r id="V:Rule12" type="connector" idref="#_x0000_s1041"/>
        <o:r id="V:Rule13" type="connector" idref="#_x0000_s1031"/>
        <o:r id="V:Rule14" type="connector" idref="#_x0000_s1032"/>
        <o:r id="V:Rule15" type="connector" idref="#_x0000_s1029"/>
        <o:r id="V:Rule1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1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997"/>
    <w:pPr>
      <w:ind w:left="720"/>
      <w:contextualSpacing/>
    </w:pPr>
  </w:style>
  <w:style w:type="character" w:customStyle="1" w:styleId="apple-converted-space">
    <w:name w:val="apple-converted-space"/>
    <w:basedOn w:val="DefaultParagraphFont"/>
    <w:rsid w:val="00403422"/>
  </w:style>
  <w:style w:type="paragraph" w:styleId="Header">
    <w:name w:val="header"/>
    <w:basedOn w:val="Normal"/>
    <w:link w:val="HeaderChar"/>
    <w:uiPriority w:val="99"/>
    <w:semiHidden/>
    <w:unhideWhenUsed/>
    <w:rsid w:val="001967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6715"/>
  </w:style>
  <w:style w:type="paragraph" w:styleId="Footer">
    <w:name w:val="footer"/>
    <w:basedOn w:val="Normal"/>
    <w:link w:val="FooterChar"/>
    <w:uiPriority w:val="99"/>
    <w:semiHidden/>
    <w:unhideWhenUsed/>
    <w:rsid w:val="001967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6715"/>
  </w:style>
  <w:style w:type="paragraph" w:styleId="NormalWeb">
    <w:name w:val="Normal (Web)"/>
    <w:basedOn w:val="Normal"/>
    <w:uiPriority w:val="99"/>
    <w:semiHidden/>
    <w:unhideWhenUsed/>
    <w:rsid w:val="00295ABE"/>
    <w:pPr>
      <w:spacing w:before="100" w:beforeAutospacing="1" w:after="100" w:afterAutospacing="1" w:line="240" w:lineRule="atLeas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1912558">
      <w:bodyDiv w:val="1"/>
      <w:marLeft w:val="0"/>
      <w:marRight w:val="0"/>
      <w:marTop w:val="0"/>
      <w:marBottom w:val="0"/>
      <w:divBdr>
        <w:top w:val="none" w:sz="0" w:space="0" w:color="auto"/>
        <w:left w:val="none" w:sz="0" w:space="0" w:color="auto"/>
        <w:bottom w:val="none" w:sz="0" w:space="0" w:color="auto"/>
        <w:right w:val="none" w:sz="0" w:space="0" w:color="auto"/>
      </w:divBdr>
      <w:divsChild>
        <w:div w:id="1052774201">
          <w:marLeft w:val="150"/>
          <w:marRight w:val="0"/>
          <w:marTop w:val="0"/>
          <w:marBottom w:val="600"/>
          <w:divBdr>
            <w:top w:val="none" w:sz="0" w:space="0" w:color="auto"/>
            <w:left w:val="none" w:sz="0" w:space="0" w:color="auto"/>
            <w:bottom w:val="none" w:sz="0" w:space="0" w:color="auto"/>
            <w:right w:val="none" w:sz="0" w:space="0" w:color="auto"/>
          </w:divBdr>
          <w:divsChild>
            <w:div w:id="1070465633">
              <w:marLeft w:val="420"/>
              <w:marRight w:val="420"/>
              <w:marTop w:val="300"/>
              <w:marBottom w:val="0"/>
              <w:divBdr>
                <w:top w:val="none" w:sz="0" w:space="0" w:color="auto"/>
                <w:left w:val="none" w:sz="0" w:space="0" w:color="auto"/>
                <w:bottom w:val="none" w:sz="0" w:space="0" w:color="auto"/>
                <w:right w:val="none" w:sz="0" w:space="0" w:color="auto"/>
              </w:divBdr>
              <w:divsChild>
                <w:div w:id="2004118170">
                  <w:marLeft w:val="0"/>
                  <w:marRight w:val="0"/>
                  <w:marTop w:val="225"/>
                  <w:marBottom w:val="0"/>
                  <w:divBdr>
                    <w:top w:val="none" w:sz="0" w:space="0" w:color="auto"/>
                    <w:left w:val="none" w:sz="0" w:space="0" w:color="auto"/>
                    <w:bottom w:val="none" w:sz="0" w:space="0" w:color="auto"/>
                    <w:right w:val="none" w:sz="0" w:space="0" w:color="auto"/>
                  </w:divBdr>
                  <w:divsChild>
                    <w:div w:id="2101833102">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93294247">
      <w:bodyDiv w:val="1"/>
      <w:marLeft w:val="0"/>
      <w:marRight w:val="0"/>
      <w:marTop w:val="0"/>
      <w:marBottom w:val="0"/>
      <w:divBdr>
        <w:top w:val="none" w:sz="0" w:space="0" w:color="auto"/>
        <w:left w:val="none" w:sz="0" w:space="0" w:color="auto"/>
        <w:bottom w:val="none" w:sz="0" w:space="0" w:color="auto"/>
        <w:right w:val="none" w:sz="0" w:space="0" w:color="auto"/>
      </w:divBdr>
      <w:divsChild>
        <w:div w:id="1643383422">
          <w:marLeft w:val="150"/>
          <w:marRight w:val="0"/>
          <w:marTop w:val="0"/>
          <w:marBottom w:val="600"/>
          <w:divBdr>
            <w:top w:val="none" w:sz="0" w:space="0" w:color="auto"/>
            <w:left w:val="none" w:sz="0" w:space="0" w:color="auto"/>
            <w:bottom w:val="none" w:sz="0" w:space="0" w:color="auto"/>
            <w:right w:val="none" w:sz="0" w:space="0" w:color="auto"/>
          </w:divBdr>
          <w:divsChild>
            <w:div w:id="696589103">
              <w:marLeft w:val="420"/>
              <w:marRight w:val="420"/>
              <w:marTop w:val="300"/>
              <w:marBottom w:val="0"/>
              <w:divBdr>
                <w:top w:val="none" w:sz="0" w:space="0" w:color="auto"/>
                <w:left w:val="none" w:sz="0" w:space="0" w:color="auto"/>
                <w:bottom w:val="none" w:sz="0" w:space="0" w:color="auto"/>
                <w:right w:val="none" w:sz="0" w:space="0" w:color="auto"/>
              </w:divBdr>
              <w:divsChild>
                <w:div w:id="2073849921">
                  <w:marLeft w:val="0"/>
                  <w:marRight w:val="0"/>
                  <w:marTop w:val="225"/>
                  <w:marBottom w:val="0"/>
                  <w:divBdr>
                    <w:top w:val="none" w:sz="0" w:space="0" w:color="auto"/>
                    <w:left w:val="none" w:sz="0" w:space="0" w:color="auto"/>
                    <w:bottom w:val="none" w:sz="0" w:space="0" w:color="auto"/>
                    <w:right w:val="none" w:sz="0" w:space="0" w:color="auto"/>
                  </w:divBdr>
                  <w:divsChild>
                    <w:div w:id="407577389">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505480299">
      <w:bodyDiv w:val="1"/>
      <w:marLeft w:val="0"/>
      <w:marRight w:val="0"/>
      <w:marTop w:val="0"/>
      <w:marBottom w:val="0"/>
      <w:divBdr>
        <w:top w:val="none" w:sz="0" w:space="0" w:color="auto"/>
        <w:left w:val="none" w:sz="0" w:space="0" w:color="auto"/>
        <w:bottom w:val="none" w:sz="0" w:space="0" w:color="auto"/>
        <w:right w:val="none" w:sz="0" w:space="0" w:color="auto"/>
      </w:divBdr>
    </w:div>
    <w:div w:id="939027284">
      <w:bodyDiv w:val="1"/>
      <w:marLeft w:val="0"/>
      <w:marRight w:val="0"/>
      <w:marTop w:val="0"/>
      <w:marBottom w:val="0"/>
      <w:divBdr>
        <w:top w:val="none" w:sz="0" w:space="0" w:color="auto"/>
        <w:left w:val="none" w:sz="0" w:space="0" w:color="auto"/>
        <w:bottom w:val="none" w:sz="0" w:space="0" w:color="auto"/>
        <w:right w:val="none" w:sz="0" w:space="0" w:color="auto"/>
      </w:divBdr>
    </w:div>
    <w:div w:id="181135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187F5-BAB4-4D86-9C62-1DCBA4CD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5</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XP-2010</Company>
  <LinksUpToDate>false</LinksUpToDate>
  <CharactersWithSpaces>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lEt'sgO!</cp:lastModifiedBy>
  <cp:revision>46</cp:revision>
  <dcterms:created xsi:type="dcterms:W3CDTF">2012-12-19T00:51:00Z</dcterms:created>
  <dcterms:modified xsi:type="dcterms:W3CDTF">2012-09-18T09:46:00Z</dcterms:modified>
</cp:coreProperties>
</file>